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E-2149/2014 vom 13. August 2014</w:t>
      </w:r>
    </w:p>
    <w:p>
      <w:r>
        <w:t>Bundesverwaltungsgericht, 2014-08-13, FR</w:t>
      </w:r>
    </w:p>
    <w:p>
      <w:r>
        <w:rPr>
          <w:b/>
        </w:rPr>
        <w:t xml:space="preserve">Quelle: </w:t>
      </w:r>
      <w:r>
        <w:t>https://mcp.opencaselaw.ch/entscheid/bvger_E-2149_2014</w:t>
      </w:r>
    </w:p>
    <w:p>
      <w:r>
        <w:t>FR: TAF E-2149/2014 du 13 août 2014</w:t>
      </w:r>
    </w:p>
    <w:p>
      <w:r>
        <w:t>IT: TAF E-2149/2014 del 13 agosto 2014</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w:t>
      </w:r>
    </w:p>
    <w:p>
      <w:r>
        <w:t>Les griefs soulevés par le recourant quant à une mauvaise traduction de ses propos, et donc à une violation du droit d'être entendu, ne sont pas fondés. Le Tribunal rappelle que ce droit, prévu à l'art. 29 PA, comprend en particulier, pour le justiciable, le droit de s'expliquer avant qu'une décision soit prise à son détriment, celui de fournir des preuves quant aux faits de nature à influer sur le sort de la cause, celui d'avoir accès à son dossier, de participer à l'administration des preuves, d'en prendre connaissance et de se déterminer à leur propos (cf. A. Moser/P. Uebersax, Handbücher für die Anwaltspraxis, vol. III, Prozessieren vor eidgenössischen Rekurskommissionen, Bâle/Francfort-sur-le-Main 1998, p. 112; L. Kneubühler, Gehörverletzung und Heilung, in Zbl 3/1998, p. 97sst En l'espèce, le droit d'être entendu n'est pas violé. En effet, lors de chaque audition, l'intéressé a dit avoir bien compris l'interprète, et a d'ailleurs pu, lors de la relecture - comme il l'admet lui-même dans son acte de recours - apporter des corrections et des compléments à ses propos. De plus, les deux représentants de l'oeuvre d'entraide (l'audition devant l'ODM s'étant déroulée sur deux journées) n'ont formulé aucune objection relative à la traduction. Les propos retranscrits du recourant ne font d'ailleurs apparaître aucune ambiguïté ou imprécision. Aucun élément ne permet donc de retenir que le recourant n'ait pas été en mesure de faire valoir correctement ses motifs lors de l'instruction.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récit du recourant comporte plusieurs éléments invraisemblables, de nature à en affecter la crédibilité.</w:t>
      </w:r>
    </w:p>
    <w:p>
      <w:r>
        <w:rPr>
          <w:b/>
        </w:rPr>
        <w:t>E. 4.2</w:t>
      </w:r>
    </w:p>
    <w:p>
      <w:r>
        <w:t>Le Tribunal relève en effet que l'intéressé a désigné comme ses principaux motifs d'asile ses contacts avec des personnes converties au christianisme et le fait que les autorités iraniennes le soupçonnaient de diriger une Eglise chrétienne clandestine ; en revanche, qu'il ait hébergé des homosexuels avait une portée moindre, l'intéressé précisant même que ce grief n'avait pas été mentionné par les autorités (cf. audition du 18 septembre 2013, question 59). Toutefois, entendu au CEP, il n'a rien dit de ses relations avec D._______ et ses amis, attribuant ses difficultés au fait qu'il avait pris comme colocataires deux homosexuels ; ne pas avoir alors fait état de la raison essentielle de sa fuite ne peut que jeter le doute sur la crédibilité de celle-ci (cf. à ce sujet Jurisprudence et informations de la Commission suisse de recours en matière d'asile [JICRA] 2005 n° 7 consid. 6.2.1 p. 66ss ; ATAF 2009/51 consid. 4.2.3 p. 743). Le Tribunal observe d'ailleurs, à cet égard, que le recourant, qui se serait intéressé au christianisme avant son départ d'Iran et se serait converti en Suisse, dans le cadre d'une évolution personnelle qu'on peut supposer progressive et approfondie, n'a pas de connaissances précises de cette religion et en ignore les éléments fondamentaux (cf. audition du 18 septembre 2013, questions 70-78). Dans cette mesure, la sincérité - voire la réalité - de la conversion du recourant est douteuse ; il en va de même des problèmes qu'il aurait rencontrés en Iran en raison de ses relations avec des convertis. Il n'est donc pas crédible que le recourant ait été tenu par les autorités iraniennes pour le responsable d'un groupe de chrétiens clandestins, à l'activité prosélyte, et courre dès lors un risque de ce chef (cf. OSAR, Les chrétiens d'Iran, octobre 2005).</w:t>
      </w:r>
    </w:p>
    <w:p>
      <w:r>
        <w:rPr>
          <w:b/>
        </w:rPr>
        <w:t>E. 4.3</w:t>
      </w:r>
    </w:p>
    <w:p>
      <w:r>
        <w:t>Par ailleurs, comme le relève l'ODM, il est inconcevable que l'intéressé, au courant des pratiques répressives des autorités iraniennes et en butte depuis longtemps à l'hostilité d'un cousin pasdaran, ait pris le risque de permettre à D._______ et à ses amis d'utiliser sans contrôle son ordinateur personnel durant plusieurs mois ; le récit sur ce point n'est dès lors pas crédible. A l'appui de cette appréciation, le Tribunal relève que l'acte de recours n'apporte sur les faits aucun élément nouveau, se contentant de répéter le récit fait par le recourant, sans faire valoir de nouveaux arguments ni de preuve inédite. A ce sujet, le Tribunal constate d'ailleurs que le mandat d'arrêt, produit en copie, dénué de toute motivation, est d'une authenticité douteuse ; l'intéressé a d'ailleurs fourni plusieurs explications incompatibles de la manière dont il lui était parvenu. Dans tous les cas, il apparaît invraisemblable qu'un telle pièce, adressée par l'autorité de poursuite à la police, puisse se trouver en mains de particuliers, même en copie. Enfin, le Tribunal tient pour invraisemblable que la police, cherchant à interpeller l'intéressé, ait informé ses proches des accusations de D._______, qui aurait dépeint le recourant comme le responsable d'une Eglise clandestine (cf. audition du 5 septembre 2013, question 13 ; du 18 septembre 2013, question 33).</w:t>
      </w:r>
    </w:p>
    <w:p>
      <w:r>
        <w:rPr>
          <w:b/>
        </w:rPr>
        <w:t>E. 4.4</w:t>
      </w:r>
    </w:p>
    <w:p>
      <w:r>
        <w:t>S'agissant de la conversion du recourant, intervenue après son arrivée en Suisse, le Tribunal rappelle que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(art. 3 al. 4 LAsi). En l'espèce, il est difficile de déterminer si la conversion du recourant est ou non le prolongement d'une conviction antérieure à son départ d'Iran ; toutefois, vu le peu de crédibilité de son récit, relevée plus haut, et les doutes qui affectent la réalité de cette conversion, ce point peut rester indécis. Le certificat de baptême délivré par l'Eglise chrétienne iranienne, à Zürich, n'a pas de portée décisive, dans la mesure où il n'atteste en rien ni cette réalité, ni des mesures de vérification ayant pu corroborer celle-ci. En outre, rien n'indique que l'intéressé se soit montré religieusement engagé en Suisse, se montrant même incapable de désigner l'église qu'il fréquente, ceci un an et demi après son baptême (cf. audition du 18 septembre 2013, questions 78-84). Dans cette mesure, il n'y a aucune raison que les autorités iraniennes soient informées de cette conversion ou qu'elles y accordent une quelconque importance (cf. ATAF 2009/28 consid. 7.4.2 p. 363-364). S'il juge à propos d'entretenir une pratique religieuse chrétienne après son retour en Iran, le recourant ne courra pas davantage de risque, dans la mesure où celle pratique reste discrète (cf. OSAR, op. cit., p. 17-19).</w:t>
      </w:r>
    </w:p>
    <w:p>
      <w:r>
        <w:rPr>
          <w:b/>
        </w:rPr>
        <w:t>E. 4.5</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7.5</w:t>
      </w:r>
    </w:p>
    <w:p>
      <w:r>
        <w:t>En l'occurrence, le Tribunal relève que l'intéressé, comme constaté plus haut, n'a pas établi la haute probabilité de risques de cette nature. Dès lors, l'exécution de son renvoi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8.2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l'autorité de céans relève qu'il est jeune, au bénéfice d'une expérience professionnelle de commerçant pâtissier et n'a pas allégué de problème de santé particulier.</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 renvoi et son exécution, doit être également rejeté.</w:t>
      </w:r>
    </w:p>
    <w:p>
      <w:r>
        <w:rPr>
          <w:b/>
        </w:rPr>
        <w:t>E. 11</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