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E-2147/2011 vom 20. Oktober 2013</w:t>
      </w:r>
    </w:p>
    <w:p>
      <w:r>
        <w:t>Bundesverwaltungsgericht, 2013-10-20, FR</w:t>
      </w:r>
    </w:p>
    <w:p>
      <w:r>
        <w:rPr>
          <w:b/>
        </w:rPr>
        <w:t xml:space="preserve">Quelle: </w:t>
      </w:r>
      <w:r>
        <w:t>https://mcp.opencaselaw.ch/entscheid/bvger_E-2147_2011</w:t>
      </w:r>
    </w:p>
    <w:p>
      <w:r>
        <w:t>FR: TAF E-2147/2011 du 20 octobre 2013</w:t>
      </w:r>
    </w:p>
    <w:p>
      <w:r>
        <w:t>IT: TAF E-2147/2011 del 20 ottobre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le renvoi et son exécution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29 al. 2 Cst..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Arrêts du Tribunal fédéral [ATF] 127 I 133 consid. 6, ATF 124 II 1 consid. 3a et ATF 120 Ib 42 consid. 2b ; Jurisprudence et informations de la Commission suisse de recours en matière d'asile [JICRA] 2006 n° 20 consid. 2.1 p. 213, JICRA 2003 n°17 p. 101ss, JICRA 2003 n° 7 consid. 1 p. 42s., JICRA 1995 n° 21 consid. 1b p. 203s., JICRA 1995 n° 14 consid. 5 p. 129s., JICRA 1993 n° 25 consid. 3 p. 178s. et jurisp. cit. ; Ulrich Häfelin / Georg Müller / Felix Uhlmann, Allgemeines Verwaltungsrecht, 5ème éd., Zurich 2006, n. 1833, p. 392 ; Karin Scherrer, in Praxiskommentar VwVG, Zurich Bâle Genève 2009, n. 16s. ad art. 66 PA, p. 1303s.).</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(cf. ATAF 2010/27 consid. 2.1 p. 367s ; JICRA 1995 n°21 consid. 1b p. 203 ss et réf. cit. ; ATF 109 Ib 253 et jurisp. cit. ; cf. également Ulrich Häfelin / Georg Müller / Felix Uhlmann, op. cit., n. 1833, p. 392).</w:t>
      </w:r>
    </w:p>
    <w:p>
      <w:r>
        <w:rPr>
          <w:b/>
        </w:rPr>
        <w:t>E. 2.3</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(cf. JICRA 2003 n° 17 consid. 2, p. 103-104).</w:t>
      </w:r>
    </w:p>
    <w:p>
      <w:r>
        <w:rPr>
          <w:b/>
        </w:rPr>
        <w:t>E. 3.1</w:t>
      </w:r>
    </w:p>
    <w:p>
      <w:r>
        <w:t>En l'espèce, la recourante remet en cause le caractère raisonnablement exigible de l'exécution de son renvoi et de celui de ses enfants. Elle fonde sa demande de réexamen sur une modification notable des circonstances suite à la dégradation de son état de santé et de celui de son fils B.________, ainsi qu'en raison de la bonne intégration de ses enfants en Suisse. Elle a produit des documents médicaux et des attestations relatives à l'excellente intégration de B.________ et C.________. Ces documents sont postérieurs à la clôture de la procédure ordinaire et sont donc des moyens de preuve nouveaux qui ouvrent la voie du réexamen. Il s'agit, dès lors, d'examiner si ces nouveaux documents sont suffisamment importants pour justifier la modification de la décision prise au terme de la procédure ordinaire, en matière d'exécution du renvoi, et confirmée par l'arrêt du Tribunal E-2561/2010. Autrement dit, il convient d'apprécier si les nouveaux éléments invoqués démontrent que désormais la recourante et ses enfants devraient être admis provisoirement en Suisse.</w:t>
      </w:r>
    </w:p>
    <w:p>
      <w:r>
        <w:rPr>
          <w:b/>
        </w:rPr>
        <w:t>E. 4.1</w:t>
      </w:r>
    </w:p>
    <w:p>
      <w:r>
        <w:t>L'exécution du renvoi est ordonnée si elle est licite, raisonnablement exigible et possible (art. 44 al. 2 LAsi). Ces empêchements sont de nature alternative, c'est-à-dire qu'il suffit que l'un d'eux soit réalisé pour que le renvoi soit inexécutable (JICRA 2006 n° 6 consid. 4.2 p. 54 ss). A défaut, l'ODM prononce l'admission provisoire, réglée par l'art. 83 de la loi fédérale sur les étrangers du 16 décembre 2005 (LEtr, RS 142.20).</w:t>
      </w:r>
    </w:p>
    <w:p>
      <w:r>
        <w:rPr>
          <w:b/>
        </w:rPr>
        <w:t>E. 4.2</w:t>
      </w:r>
    </w:p>
    <w:p>
      <w:r>
        <w:t>En l'occurrence, c'est sur la question de la modification du prononcé d'exigibilité de l'exécution du renvoi que l'autorité de céans entend porter son examen, ainsi que la recourante l'a invoqué implicitement dans son recours.</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JICRA 2005 n° 24 consid. 10.1 p. 215).</w:t>
      </w:r>
    </w:p>
    <w:p>
      <w:r>
        <w:rPr>
          <w:b/>
        </w:rPr>
        <w:t>E. 5.2.1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5.2.2</w:t>
      </w:r>
    </w:p>
    <w:p>
      <w:r>
        <w:t>Dans le cas d'espèce, le Tribunal a considéré, dans son arrêt sur recours du 10 février 2011, que les problèmes de santé de la recourante ne constituaient pas un motif d'inexigibilité de l'exécution du renvoi. Dans le cadre de sa demande de réexamen, celle-ci n'a pas établi que son état se serait péjoré de manière notable dans l'intervalle. Partant, ce grief n'ouvre pas la voie du réexamen, ainsi que l'a retenu à juste titre l'ODM dans sa décision du 28 avril [recte : mars] 2011.</w:t>
      </w:r>
    </w:p>
    <w:p>
      <w:r>
        <w:rPr>
          <w:b/>
        </w:rPr>
        <w:t>E. 5.2.3</w:t>
      </w:r>
    </w:p>
    <w:p>
      <w:r>
        <w:t>S'agissant des problèmes de santé de B.________, le Tribunal estime qu'ils sont invoqués tardivement, puisque l'enfant est suivi depuis le 2 juin 2010 et que la recourante ne le fait valoir qu'au stade du dépôt de sa demande de réexamen, le 18 mars 2011. Quoi qu'il en soit, les affections dont souffre l'enfant (symptômes de stress et anxiété généralisée, puis diagnostic de dépression aiguë) ne sont pas graves au point de constituer, à elles seules, un obstacle à l'exécution du renvoi.</w:t>
      </w:r>
    </w:p>
    <w:p>
      <w:r>
        <w:rPr>
          <w:b/>
        </w:rPr>
        <w:t>E. 5.3</w:t>
      </w:r>
    </w:p>
    <w:p>
      <w:r>
        <w:t>La recourante n'a apporté, en procédure de réexamen, aucun élément nouveau concernant son réseau familial et social au Kosovo. Elle sollicite donc implicitement une nouvelle appréciation de faits connus et allégués en procédure ordinaire, ce que l'institution du réexamen ne permet pas. Ainsi, la considération du Tribunal quant à "l'existence d'un large et solide réseau familial" au Kosovo, sur l'appui duquel la recourante peut compter, n'est pas remise en cause (cf. arrêt E-2561/2010 consid. 5.4.4).</w:t>
      </w:r>
    </w:p>
    <w:p>
      <w:r>
        <w:rPr>
          <w:b/>
        </w:rPr>
        <w:t>E. 5.4</w:t>
      </w:r>
    </w:p>
    <w:p>
      <w:r>
        <w:t>Dans sa demande de réexamen, la recourante fait finalement valoir l'écoulement du temps et la bonne intégration de sa famille et en particulier celle des enfants. Elle a invoqué à ce sujet leur intérêt supérieur à pouvoir demeurer en Suisse, au sens de l'art. 3 de la Convention du 20 novembre 1989 relative aux droits de l'enfant (CDE, RS 0.107). Or force est également de constater à cet égard que l'arrêt du Tribunal du 10 février 2011 a déjà tranché cette question et le laps de temps s'étant écoulé jusqu'à ce jour ne constitue pas en soi une modification notable de la situation qui justifierait le réexamen dans un sens favorable à la recourante de la décision d'exécution du renvoi.</w:t>
      </w:r>
    </w:p>
    <w:p>
      <w:r>
        <w:rPr>
          <w:b/>
        </w:rPr>
        <w:t>E. 5.4.1</w:t>
      </w:r>
    </w:p>
    <w:p>
      <w:r>
        <w:t>Au surplus, la question de savoir si un demandeur d'asile définitivement débouté peut prétendre demeurer en Suisse sur la base de sa bonne intégration ressortit aux autorités cantonales de police des étrangers compétentes (cf. art. 14 LAsi). Dès lors, la recourante peut, si elle en estime les conditions remplies, solliciter de la part de l'autorité cantonale compétente, sous réserve de l'approbation de l'ODM, l'octroi d'une autorisation de séjour pour "cas individuel d'une extrême gravité" (permis dit humanitaire) en vertu de l'art. 14 al. 2 let. c LAsi (cf. aussi art. 30 al. 1 let. b LEtr).</w:t>
      </w:r>
    </w:p>
    <w:p>
      <w:r>
        <w:rPr>
          <w:b/>
        </w:rPr>
        <w:t>E. 5.5</w:t>
      </w:r>
    </w:p>
    <w:p>
      <w:r>
        <w:t>Partant, la recourante ne peut se prévaloir d'un changement notable de circonstances sur la base des éléments invoqués pour obtenir la modification de la décision du 17 mars 2010 confirmée précédemment par le Tribunal. Il s'ensuit que le prononcé du 28 avril [recte : mars] 2011, par lequel l'ODM a rejeté la demande de réexamen de sa décision du 17 mars 2010, est confirmé.</w:t>
      </w:r>
    </w:p>
    <w:p>
      <w:r>
        <w:rPr>
          <w:b/>
        </w:rPr>
        <w:t>E. 6</w:t>
      </w:r>
    </w:p>
    <w:p>
      <w:r>
        <w:t>Vu les circonstances particulières du cas, le Tribunal renonce exceptionnellement à percevoir des frais de procédure (cf. art. 63 al. 1 PA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