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E-2145/2024 vom 23. April 2024</w:t>
      </w:r>
    </w:p>
    <w:p>
      <w:r>
        <w:t>Bundesverwaltungsgericht, 2024-04-23, DE</w:t>
      </w:r>
    </w:p>
    <w:p>
      <w:r>
        <w:rPr>
          <w:b/>
        </w:rPr>
        <w:t xml:space="preserve">Quelle: </w:t>
      </w:r>
      <w:r>
        <w:t>https://mcp.opencaselaw.ch/entscheid/bvger_E-2145_2024</w:t>
      </w:r>
    </w:p>
    <w:p>
      <w:r>
        <w:t>FR: TAF E-2145/2024 du 23 avril 2024</w:t>
      </w:r>
    </w:p>
    <w:p>
      <w:r>
        <w:t>IT: TAF E-2145/2024 del 23 aprile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t>E-2145/2024 Seite 5</w:t>
      </w:r>
    </w:p>
    <w:p>
      <w:r>
        <w:rPr>
          <w:b/>
        </w:rPr>
        <w:t>E. 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3</w:t>
      </w:r>
    </w:p>
    <w:p>
      <w:r>
        <w:t>Der Beschwerde kommt von Gesetzes wegen aufschiebende Wirkung zu. Der entsprechende Eventualantrag auf deren Wiederherstellung ist daher von vornherein unbehelflich.</w:t>
      </w:r>
    </w:p>
    <w:p>
      <w:r>
        <w:rPr>
          <w:b/>
        </w:rPr>
        <w:t>E. 4</w:t>
      </w:r>
    </w:p>
    <w:p>
      <w:r>
        <w:t>Die Kognition des Bundesverwaltungsgerichts und die zulässigen Rügen richten sich im Asylbereich nach Art. 106 Abs. 1 AsylG, im Bereich des Aus- länderrechts nach Art. 49 VwVG (vgl. BVGE 2014/26 E. 5).</w:t>
      </w:r>
    </w:p>
    <w:p>
      <w:r>
        <w:rPr>
          <w:b/>
        </w:rPr>
        <w:t>E. 5</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E-2145/2024 Seite 6</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führte zur Begründung des Asylentscheids zunächst aus, dass kein gesetzlicher Anspruch auf die Behandlung eines Asylgesuchs im beschleunigten oder erweiterten Verfahren bestehe. Vorliegend sei zwar die gesetzlich vorgesehene Frist von acht Arbeitstagen nach Abschluss der Vorbereitungsphase aus organisatorischen Gründen um einen Arbeitstag überschritten worden, diese Überschreitung liege aber innerhalb der durch Art. 37 Abs. 3 AsylG festgelegten Toleranz. Da sich vorliegend keine kom- plexen Rechts- beziehungsweise Sachfragen gestellt hätten, im Anschluss an die Anhörung zu den Asylgründen auch keine umfangreichen Abklärun- gen zur Erstellung des Sachverhaltes notwendig gewesen seien und schliesslich die sachgerechte Anfechtung der Verfügung innert sieben Ta- gen nach Entscheideröffnung sachgerecht sei, habe die Behandlung im beschleunigten Verfahren mithin keine Verletzung von Verfahrensgarantien zur Folge. Des Weiteren basiere die von der Beschwerdeführerin geltend gemachte Bedrohungslage lediglich auf der Antwort eines anonymen Twitter-Nutzers auf einen regimekritischen Tweet ihres Bruders. Es sei nicht ersichtlich, wie ein Tweet eines anonymen Twitter-Nutzers die Situation der Beschwerde- führerin in Marokko grundlegend verändern sollte. Auch aus dem Vorbrin- gen, ihrem in Marokko lebenden Bruder sei Geld auf dessen Konto über- wiesen worden und ihrem Vater sei Geld von dessen Konto entzogen wor- den, was darauf schliessen lasse, dass der marokkanische Staat der Fa- milie schaden wolle, lasse sich keine intensivierte, gezielt gegen die Be- schwerdeführerin gerichtete Bedrohungslage ableiten, zumal fraglich sei, ob sich der marokkanische Staat solcher Mittel bedienen würde. So würden ebenso wenig Hinweise dafür vorliegen, dass der marokkanische Staat hin- ter diesen Handlungen stehe. Der Bruder der Beschwerdeführerin äussere sich zwar regimekritisch in den sozialen Medien, er sei aber weder ange- zeigt worden noch werde er aktiv gesucht. Zudem lasse dies auch unter Berücksichtigung der von der Beschwerdeführerin eingereichten Beweis- mittel nicht auf eine konkrete Bedrohungslage für ihre Person schliessen.</w:t>
      </w:r>
    </w:p>
    <w:p>
      <w:r>
        <w:t>E-2145/2024 Seite 7 Ferner gelte der marokkanische Staat als grundsätzlich schutzfähig und schutzwillig. Die Beschwerdeführerin habe in ihrem Heimatstaat bisher keine Probleme mit den Behörden gehabt und weder sie noch andere Fa- milienmitglieder seien je straffällig geworden oder in Haft gewesen. Es sei ihr und auch ihren Familienangehörigen mithin zuzumuten, für den Fall, dass die gegen ihre Person ausgesprochenen Drohungen von privaten Dritten stammen würden, bei den marokkanischen Behörden um Schutz zu suchen. Es bestehe daher keine begründete Furcht vor einer künftigen Verfolgung seitens der marokkanischen Behörden. Die von der Beschwer- deführerin vorgebrachten Nachteile seien flüchtlingsrechtlich nicht rele- vant. Daran würde auch die in der Stellungnahme zum Entscheidentwurf vertretene Meinung, es liege klar eine Reflexverfolgung aufgrund der poli- tischen Aktivitäten des Bruders der Beschwerdeführerin vor, nichts ändern. Soweit in der Stellungnahme weiter vorgebracht worden sei, durch ihren längeren Aufenthalt in der Ukraine und der Schweiz stehe sie noch stärker im Fokus der Verfolger ihres politisch aktiven Bruders, sei festzuhalten, dass sich alleine aus einem längeren Auslandaufenthalt keine objektiv be- gründbare Furcht vor Verfolgung begründen lasse. Zum einen habe die Beschwerdeführerin im Jahre 2021 für ein Praktikum problemlos nach Ma- rokko zurückkehren können, zum anderen sei ihr Bruder in ihrem Heimat- staat strafrechtlich weder vorbelastet noch aktuell verfolgt. Schliesslich seien, entgegen des Vorwurfes in der Stellungnahme, die editionspflichti- gen Akten inklusive Anhörungsprotokoll dem Rechtsschutz in korrekter Weise zugestellt worden.</w:t>
      </w:r>
    </w:p>
    <w:p>
      <w:r>
        <w:rPr>
          <w:b/>
        </w:rPr>
        <w:t>E. 7.2</w:t>
      </w:r>
    </w:p>
    <w:p>
      <w:r>
        <w:t>Dem wird in der Beschwerde zunächst entgegnet, dass mittlerweile auch die Eltern der Beschwerdeführerin ihre Ausreise aus Marokko auf- grund der Schikanen und Bedrohungen der marokkanischen Behörden vorbereiten würden. Ausserdem hätte die vorliegende Sache im erweiter- ten Verfahren behandelt werden sollen: So habe die Beschwerdeführerin bereits am 30. April 2022 in der Schweiz ein Gesuch um vorübergehenden Schutz gestellt. Elf Monate danach sei das Asylverfahren eröffnet worden. In dieser Zeit habe sie ihren jetzigen Freund, einen iranischen Asylsuchen- den, kennengelernt, mit welchem sie zwischenzeitlich zusammenwohne. Insgesamt habe ihr Asylverfahren somit rund ein Jahr gedauert. Auch wenn zwischen der Anhörung zu den Asylgründen vom 15. März 2024 und dem Entscheid zwölf Tage liegen würden, sei das beschleunigte Verfahren nicht mehr korrekt. Die Fakten für den Fall seien im vorangehenden Verfahren um vorübergehenden Schutz (mit)erstellt worden, was aufzeige, dass die Fakten nicht, wie im beschleunigten Verfahren vorgesehen, innert kurzer Zeit hätten gesammelt werden können. Ausserdem sei der vorliegende Fall</w:t>
      </w:r>
    </w:p>
    <w:p>
      <w:r>
        <w:t>E-2145/2024 Seite 8 nicht simpel. Das eng getaktete beschleunigte Verfahren mit den kurzen Fristen entspreche vorliegend keinem fairen Verfahren; insbesondere habe die Beschwerdeführerin in der kurzen Zeit nach Entscheideröffnung keine neue Rechtsvertretung finden können. Entsprechend sei der Fall für eine neue Triagierung an das SEM zurückzuweisen. Ferner sei mit Verweis auf einen Bericht von Human Rights Watch vom 28. Juli 2022 festzuhalten, dass – wie im vorliegenden Fall vorgebracht – Marokko Familienangehörige von politischen Aktivisten einschüchtere, dis- kriminiere und verfolge.</w:t>
      </w:r>
    </w:p>
    <w:p>
      <w:r>
        <w:rPr>
          <w:b/>
        </w:rPr>
        <w:t>E. 8.1</w:t>
      </w:r>
    </w:p>
    <w:p>
      <w:r>
        <w:t>Die (formelle) Rüge der Beschwerdeführerin, ihr Verfahren hätte im er- weiterten Verfahren durchgeführt werden sollen, erweist sich als unbegrün- det. Es besteht kein gesetzlicher Anspruch auf die Behandlung im be- schleunigten oder erweiterten Verfahren (vgl. BVGE 2020/VI/5 E. 9.2). Es ist vorliegend sodann nicht von einer Verletzung des Anspruchs auf das Erheben einer wirksamen Beschwerde (Art. 29a BV, Art. 13 i.V.m. Art. 3 EMRK) auszugehen.</w:t>
      </w:r>
    </w:p>
    <w:p>
      <w:r>
        <w:rPr>
          <w:b/>
        </w:rPr>
        <w:t>E. 8.2</w:t>
      </w:r>
    </w:p>
    <w:p>
      <w:r>
        <w:t>Zum einen schlägt die Argumentation der Beschwerdeführerin hinsicht- lich der Länge des vorinstanzlichen Verfahrens fehl. Das Asylverfahren wurde nach Abschluss des Verfahrens um vorübergehenden Schutz am 20. April 2023 vom SEM aufgenommen. Die Anhörung der Beschwerde- führerin zu den Asylgründen im Sinne von Art. 29 AsylG fand am 15. März 2024 statt, die Verfügung des SEM erging schliesslich am 27. März 2024. Die gesetzlich vorgesehene Frist von acht Arbeitstagen nach Abschluss der Vorbereitungsphase im beschleunigten Verfahren wurde um einen Tag überschritten, was ohne weiteres innerhalb der von Art. 37 Abs. 3 AsylG festgelegten Toleranz liegt.</w:t>
      </w:r>
    </w:p>
    <w:p>
      <w:r>
        <w:rPr>
          <w:b/>
        </w:rPr>
        <w:t>E. 8.3</w:t>
      </w:r>
    </w:p>
    <w:p>
      <w:r>
        <w:t>Ebenso wenig ist die Behandlung des Asylgesuchs im beschleunigten Verfahren an sich zu beanstanden, da die Vorinstanz den dem Entscheid zugrunde liegenden Sachverhalt vollständig und richtig erstellt hat. Dass ein Teil des Sachverhalts bereits durch das zeitlich vorgelagerte Verfahren um vorübergehenden Schutz erstellt worden ist, vermag an dieser Ein- schätzung nichts zu ändern.</w:t>
      </w:r>
    </w:p>
    <w:p>
      <w:r>
        <w:rPr>
          <w:b/>
        </w:rPr>
        <w:t>E. 8.4</w:t>
      </w:r>
    </w:p>
    <w:p>
      <w:r>
        <w:t>In Bezug auf die dem beschleunigten Verfahren geschuldete kurze Be- schwerdefrist von sieben Arbeitstagen ist festzustellen, dass diese vom Gesetzgeber angesichts des ausgebauten Rechtsschutzes als möglich</w:t>
      </w:r>
    </w:p>
    <w:p>
      <w:r>
        <w:t>E-2145/2024 Seite 9 und im Hinblick auf die angestrebte Beschleunigung im Asylbereich als not- wendig erachtet wurde (vgl. Botschaft zur Änderung des Asylgesetzes vom 3. September 2014, BBl 2014 7991, S. 8094). Die Beschwerdeführerin hatte die Möglichkeit über ihre Rechtsvertretung zum Entscheidentwurf Stellung zu nehmen, was sie auch am 26. März 2024 gemacht hat. Aus dieser Stellungnahme ergeben sich keine Anhaltspunkte, die weitere und vertiefte Abklärungen als notwendig erscheinen lassen. Der geltend ge- machte Sachverhalt erweist sich sodann als nicht komplex. Ausserdem lie- gen keine Umstände vor, die es der Beschwerdeführerin objektiv verun- möglicht hätten, eine neue Rechtsvertretung zu mandatieren, nachdem die zugewiesene Rechtsvertretung ihr Mandat nach einer Chancenprüfung niedergelegt hatte. Einerseits ist die Mandatsniederlegung der zugewiese- nen Rechtsvertretung gleichentags wie die Verfügungseröffnung erfolgt. Entsprechend lag keine Mandatsniederlegung zur Unzeit vor, sondern sie lag im Rahmen der gesetzlichen Vorgaben von Art. 102h Abs. 4 AsylG. An- dererseits ergeben sich aus den Akten keine Hinweise dafür, dass die Be- schwerdeführerin von der damaligen Rechtsvertretung nicht rechtsgenüg- lich über ihre Rechte und Pflichten im Zusammenhang mit einer Be- schwerde aufgeklärt worden ist. Entsprechend kann sich die Beschwerde- führerin nicht auf den Umstand berufen, sie habe aufgrund der kurzen Be- schwerdefrist keine neue Rechtsvertretung mandatieren können.</w:t>
      </w:r>
    </w:p>
    <w:p>
      <w:r>
        <w:rPr>
          <w:b/>
        </w:rPr>
        <w:t>E. 8.5</w:t>
      </w:r>
    </w:p>
    <w:p>
      <w:r>
        <w:t>Nach dem Gesagten besteht keine Veranlassung, die angefochtene Verfügung aus formellen Gründen aufzuheben und an die Vorinstanz zu- rückzuweisen.</w:t>
      </w:r>
    </w:p>
    <w:p>
      <w:r>
        <w:rPr>
          <w:b/>
        </w:rPr>
        <w:t>E. 9.1</w:t>
      </w:r>
    </w:p>
    <w:p>
      <w:r>
        <w:t>Das Bundesverwaltungsgericht gelangt nach Prüfung der Akten zum Schluss, dass die Vorbringen der Beschwerdeführerin den Anforderungen an die Flüchtlingseigenschaft nach Art. 3 AsylG nicht standzuhalten vermö- gen. Zur Vermeidung von Wiederholungen kann vollumfänglich auf die zu- treffenden Erwägungen des SEM (angefochtene Verfügung S. 6 ff. und E. 7.1 vorstehend) verwiesen werden. In der Beschwerdeeingabe wird nichts dargetan, was zu einer anderen Ein- schätzung führen könnte. Insbesondere liegen keine Hinweise dafür vor, dass die Beschwerdeführerin oder ihre Familienangehörigen aufgrund von regimekritischen Äusserungen des in der Schweiz lebenden Bruders in re- levanter Weise im Fokus der marokkanischen Behörden stehen würden. Die von der Beschwerdeführerin vorgebrachten Zwischenfälle deuten, so- fern überhaupt glaubhaft, auf von privaten Dritten durchgeführte</w:t>
      </w:r>
    </w:p>
    <w:p>
      <w:r>
        <w:t>E-2145/2024 Seite 10 Handlungen hin, wobei mit der Vorinstanz festzuhalten ist, dass die marok- kanischen Behörden schutzfähig und schutzwillig sind und die Beschwer- deführerin sich bei drohenden Nachteilen durch Drittpersonen an die hei- matlichen Behörden wenden kann. Konkreten Hinweise dafür, dass die Be- schwerdeführerin im Zeitpunkt ihrer Ausreise einer flüchtlingsrechtlich re- levanten (Reflex-)Verfolgung oder einer entsprechenden Verfolgungsge- fahr ausgesetzt war oder im Falle ihrer Rückkehr nach Marokko ernsthafte Nachteile im Sinne von Art. 3 Abs. 2 AsylG zu gewärtigen hätte, ergeben sich aus dem Vorbringen nicht.</w:t>
      </w:r>
    </w:p>
    <w:p>
      <w:r>
        <w:rPr>
          <w:b/>
        </w:rPr>
        <w:t>E. 9.2</w:t>
      </w:r>
    </w:p>
    <w:p>
      <w:r>
        <w:t>Demnach hat die Vorinstanz zu Recht die Flüchtlingseigenschaft ver- neint und das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 länderrechtliche Aufenthaltsbewilligung noch über einen Anspruch auf Er- teilung einer solchen. Etwas anderes ergibt sich auch nicht in Bezug auf die in der Beschwerde geltend gemachte Beziehung der Beschwerdefüh- rerin mit einem iranischen Staatsangehörigen. Dass besagter Partner, den sie in der Asylunterkunft kennengelernt haben will, über ein gefestigtes Auf- enthaltsrecht in der Schweiz verfügt, aus welchem allenfalls auf einen An- spruch auf Erteilung einer Aufenthaltsbewilligung geschlossen werden könnte, ergibt sich aus dem Vorbringen nicht. Die Wegweisung wurde dem- 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E-2145/2024 Seite 11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11.2.3</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11.2.4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 schiebung Folter oder unmenschliche Behandlung drohen würde (vgl. Ur- teil des EGMR Saadi gegen Italien vom 28. Februar 2008, Grosse Kammer</w:t>
      </w:r>
    </w:p>
    <w:p>
      <w:r>
        <w:t>E-2145/2024 Seite 12 37201/06, §§ 124–127 m.w.H.). Nach den vorstehenden Ausführungen ge- lingt ihr das nicht. Auch die allgemeine Menschenrechtssituation im Hei- matstaat lässt den Wegweisungsvollzug zum heutigen Zeitpunkt nicht als unzulässig erscheinen.</w:t>
      </w:r>
    </w:p>
    <w:p>
      <w:r>
        <w:rPr>
          <w:b/>
        </w:rPr>
        <w:t>E. 11.2.5</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In Marokko herrscht kein Krieg, Bürgerkrieg oder eine Situation all- gemeiner Gewalt, aufgrund derer die Zivilbevölkerung als konkret gefähr- det bezeichnet werden müsste. Der Wegweisungsvollzug dorthin ist daher grundsätzlich zumutbar (vgl. Urteil des BVGer D-1337/2023 vom 31. März 2023 E. 6.1 m.w.H.).</w:t>
      </w:r>
    </w:p>
    <w:p>
      <w:r>
        <w:rPr>
          <w:b/>
        </w:rPr>
        <w:t>E. 11.3.3</w:t>
      </w:r>
    </w:p>
    <w:p>
      <w:r>
        <w:t>Auch in individueller Hinsicht erweist sich der Wegweisungsvollzug als zumutbar. Wie von der Vorinstanz korrekterweise festgehalten, handelt es sich bei der Beschwerdeführerin um eine junge Frau mit einer sehr gu- ten Ausbildung und finanziell stabilen Voraussetzungen. Es ist davon aus- zugehen, dass sie sich bei einer Rückkehr nach Marokko eine wirtschaftli- che Lebensgrundlage schaffen kann. Daran vermag auch der in der Be- schwerde nicht weiter belegte Hinweis auf die baldige Ausreise ihrer Eltern aus Marokko nichts zu ändern.</w:t>
      </w:r>
    </w:p>
    <w:p>
      <w:r>
        <w:rPr>
          <w:b/>
        </w:rPr>
        <w:t>E. 11.3.4</w:t>
      </w:r>
    </w:p>
    <w:p>
      <w:r>
        <w:t>In gesundheitlicher Hinsicht wurde auf Beschwerdeebene unter Ver- weis auf einen Bericht der Hausärztin der Beschwerdeführerin vom 1. März 2024 vorgebracht, die Beschwerdeführerin leide stark unter der aktuellen Situation, schlafe schlecht, fürchte sich vor einer Rückkehr nach Marokko, weswegen Mitte Mai 2024 ein Termin bei den psychiatrischen Diensten I._______ vereinbart worden sei. Entsprechend befinde sich die Beschwer- deführerin in einer schlechten gesundheitlichen Verfassung und sei be- handlungsbedürftig. Der ärztliche Bericht sei abzuwarten.</w:t>
      </w:r>
    </w:p>
    <w:p>
      <w:r>
        <w:rPr>
          <w:b/>
        </w:rPr>
        <w:t>E. 11.3.5</w:t>
      </w:r>
    </w:p>
    <w:p>
      <w:r>
        <w:t>Aus gesundheitlichen Gründen kann nur dann auf Unzumutbarkeit des Wegweisungsvollzugs im Sinne von Art. 83 Abs. 4 AIG geschlossen</w:t>
      </w:r>
    </w:p>
    <w:p>
      <w:r>
        <w:t>E-2145/2024 Seite 13 werden, wenn eine notwendige Behandlung im Heimatland schlicht nicht zur Verfügung steht und die fehlende Möglichkeit der (Weiter-)Behandlung bei einer Rückkehr zu einer raschen und lebensgefährdenden Beeinträch- tigung des Gesundheitszustands der betroffenen Person führt. Dabei wird als wesentlich die allgemeine und dringende medizinische Behandlung er- achtet, welche zur Gewährleistung einer menschenwürdigen Existenz not- wendig ist. Unzumutbarkeit liegt jedenfalls dann noch nicht vor, wenn im Heimat- oder Herkunftsstaat eine nicht dem schweizerischen Standard ent- sprechende medizinische Behandlung grundsätzlich möglich ist (vgl. BVGE 2011/50 E. 8.3; 2009/52 E. 10.1; 2009/51 E. 5.5; 2009/28 E. 9.3.1; 2009/2 E. 9.3.2).</w:t>
      </w:r>
    </w:p>
    <w:p>
      <w:r>
        <w:rPr>
          <w:b/>
        </w:rPr>
        <w:t>E. 11.3.6</w:t>
      </w:r>
    </w:p>
    <w:p>
      <w:r>
        <w:t>Vorliegend ist gestützt auf die Akten festzustellen, dass im Falle der Beschwerdeführerin nicht von einer derart gravierenden psychischen Er- krankung ausgegangen werden kann, welche einem Wegweisungsvollzug nach Marokko entgegenstehen würde. Insbesondere ist nicht anzuneh- men, die Beschwerdeführerin wäre auf eine Behandlung angewiesen, die zwingend nur in der Schweiz gewährleistet werden könnte. Sollte die Be- schwerdeführerin tatsächlich auf eine psychologische Behandlung ange- wiesen sein, wird sie diese auch in ihrem Heimatstaat in Anspruch nehmen können. So verfügt Marokko generell über ein gut entwickeltes Gesund- heitssystem und vor allem in städtischen Zentren über eine genügende An- zahl von Einrichtungen, die psychiatrische oder psychologische Therapien anbieten (vgl. etwa das Urteil des Bundesverwaltungsgerichts [BVGer] D- 2963/2020 vom 13. März 2024 E. 7.1.5.3 m.w.H.). Unter diesen Umständen sieht das Bundesverwaltungsgericht denn auch im Sinne einer antizipier- ten Beweiswürdigung (vgl. BGE 141 I 60 E. 3.3; BGE 136 I 229 E. 5.3) keine Veranlassung, den Termin bei den psychiatrischen Diensten I._______ Mitte Mai 2024 abzuwarten.</w:t>
      </w:r>
    </w:p>
    <w:p>
      <w:r>
        <w:rPr>
          <w:b/>
        </w:rPr>
        <w:t>E. 11.3.7</w:t>
      </w:r>
    </w:p>
    <w:p>
      <w:r>
        <w:t>Nach dem Gesagten erweist sich der Vollzug der Wegweisung auch als zumutbar.</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E-2145/2024 Seite 14</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zumal die Gesuche um Gewährung der unentgeltlichen Rechtspflege im Sinne von Art. 65 Abs. 1 VwVG sowie um Beiordnung ei- ner amtlichen Rechtsverbeiständung im Sinne von Art. 102m Abs. 1 AsylG wegen der Aussichtslosigkeit der Rechtsbegehren abzuweisen sind.</w:t>
      </w:r>
    </w:p>
    <w:p>
      <w:r>
        <w:rPr>
          <w:b/>
        </w:rPr>
        <w:t>E. 13.2</w:t>
      </w:r>
    </w:p>
    <w:p>
      <w:r>
        <w:t>Das Gesuch um Verzicht auf die Erhebung eines Kostenvorschusses wird mit dem vorliegenden Entscheid in der Hauptsache gegenstandslos.</w:t>
      </w:r>
    </w:p>
    <w:p>
      <w:r>
        <w:t>(Dispositiv nächste Seite)</w:t>
      </w:r>
    </w:p>
    <w:p>
      <w:r>
        <w:t>E-2145/2024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