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E-2144/2013 vom 20. März 2014</w:t>
      </w:r>
    </w:p>
    <w:p>
      <w:r>
        <w:t>Bundesverwaltungsgericht, 2014-03-20, DE</w:t>
      </w:r>
    </w:p>
    <w:p>
      <w:r>
        <w:rPr>
          <w:b/>
        </w:rPr>
        <w:t xml:space="preserve">Quelle: </w:t>
      </w:r>
      <w:r>
        <w:t>https://mcp.opencaselaw.ch/entscheid/bvger_E-2144_2013</w:t>
      </w:r>
    </w:p>
    <w:p>
      <w:r>
        <w:t>FR: TAF E-2144/2013 du 20 mars 2014</w:t>
      </w:r>
    </w:p>
    <w:p>
      <w:r>
        <w:t>IT: TAF E-2144/2013 del 20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 (Art. 105 und Art. 108 Abs. 1 AsylG, Art. 48 Abs. 1 sowie Art. 52 VwVG).</w:t>
      </w:r>
    </w:p>
    <w:p>
      <w:r>
        <w:rPr>
          <w:b/>
        </w:rPr>
        <w:t>E. 2</w:t>
      </w:r>
    </w:p>
    <w:p>
      <w:r>
        <w:t>Mit Beschwerde kann die Verletzung von Bundesrecht und die unrichtige oder unvollständige Feststellung des rechtserheblichen Sachverhalts gerügt werden (Art. 106 AsylG).</w:t>
      </w:r>
    </w:p>
    <w:p>
      <w:r>
        <w:rPr>
          <w:b/>
        </w:rPr>
        <w:t>E. 3.1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sie, wenn nicht über alle rechtswesentlichen Sachumstände Beweis erhoben wurde. Dies ist häufig dann der Fall, wenn die Vorinstanz gleichzeitig den Anspruch auf rechtliches Gehör verletzte (vgl. Alfred Kölz/Isabelle Häner/Martin Berschi, Verwaltungsverfahren und Verwaltungsrechtspflege des Bundes, 3. Aufl., Zürich Basel Genf 2013, Rz. 1043). Das Bundesverwaltungsgericht kann den rechtserheblichen Sachverhalt, wie ihn die Vorinstanz festgestellt hat, uneingeschränkt überprüfen (Art. 106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3.2</w:t>
      </w:r>
    </w:p>
    <w:p>
      <w:r>
        <w:t>Der in Art. 29 Abs. 2 der Bundesverfassung der Schweizerischen Eidgenossenschaft vom 18. April 1999 (BV, SR 101)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w:t>
      </w:r>
    </w:p>
    <w:p>
      <w:r>
        <w:rPr>
          <w:b/>
        </w:rPr>
        <w:t>E. 3.3</w:t>
      </w:r>
    </w:p>
    <w:p>
      <w:r>
        <w:t>Vorliegend ist festzustellen, dass es die Vorinstanz trotz diesbezüglicher Eingaben der Rechtsvertretung (vgl. vorstehend Bst. B) unterlassen hat, die (...) Verfahrensakten auf dem Rechtshilfeweg anzufordern. In der Verfügung vom 15. März 2013 wird mit keinem Wort auf das am 11. März 2013 beim Amt eingelangte Schreiben eingegangen, worin ausgeführt wird, aus der gleichzeitig eingereichten, per E-Mail übermittelten Antwort der (...) ergebe sich, dass der Personalausweis des Beschwerdeführers der Türkischen Vertretung in (...) übermittelt worden und es den Schweizer Behörden unbenommen sei, auf dem Rechtshilfeweg Auskünfte zum Asylverfahren in B._______ einzuholen. Des Weiteren liege dem Schreiben eine Vollmacht des Beschwerdeführers für die Asylbehörden in B._______ zwecks Erhalts der dortigen Verfahrensakten bei. Damit steht fest, dass sich die Vorinstanz in der Abfassung der angefochtenen Verfügung nicht mit allen wesentlichen Vorbringen des Beschwerdeführers befasst und damit ihre Begründungspflicht und den Anspruch auf rechtliches Gehör verletzt hat, wenngleich nicht in einer Weise, welche die sachgerechte Anfechtung verunmöglicht hätte. Zudem hat sie dadurch, dass sie die für den Entscheid relevanten (...) Asylverfahrensakten nicht auf dem Rechtshilfeweg beigezogen hat, den Sachverhalt unvollständig festgestellt.</w:t>
      </w:r>
    </w:p>
    <w:p>
      <w:r>
        <w:rPr>
          <w:b/>
        </w:rPr>
        <w:t>E. 3.4</w:t>
      </w:r>
    </w:p>
    <w:p>
      <w:r>
        <w:t>Angesichts dieser Sachlage stellt sich die Frage, ob die festgestellte Verletzung des rechtlichen Gehörs und die unvollständige Feststellung des Sachverhaltes geheilt werden kann oder zur Kassation der angefochtenen Verfügung führen muss. Grundsätzlich führt eine Verletzung des rechtlichen Gehörs aufgrund der formellen Natur dieses Anspruches ungeachtet der materiellen Auswirkungen zur Aufhebung des betreffenden Entscheides (vgl. BVGE 2008/47 E. 3.3.4 m.w.H.). Das Bundesverwaltungsgericht ging in seiner bisherigen Praxis davon aus, dass Gehörsverletzungen und unvollständige Sachverhaltsfeststellungen aufgrund der umfassenden Kognition der Beschwerdeinstanz in bestimmten Schranken geheilt werden können. Dies gilt unter der Geltung des revidierten Art. 106 AsylG (Wegfall der Überprüfbarkeit der Angemessenheit; vgl. alt Art. 106 Abs. 1 Bst. c AsylG) grundsätzlich weiterhin, wobei Gehörsverletzungen, die sich auf einen Aspekt der Angemessenheit beziehen, vom Bundesverwaltungsgericht fortan nicht mehr geheilt werden können. Eine Gehörsverletzung kann dann geheilt werden, wenn das Versäumte nachgeholt wird, der Beschwerdeführer dazu Stellung nehmen kann und der Beschwerdeinstanz im streitigen Fall die freie Überprüfungsbefugnis in Bezug auf Tatbestand sowie Rechtsanwendung zukommt, die festgestellte Verletzung nicht schwerwiegender Natur ist und die fehlende Entscheidreife durch die Beschwerdeinstanz mit vertretbarem Aufwand hergestellt werden kann (vgl. Christoph auer, a.a.O., E. 3.4.4 m.w.H.). Vorliegend sieht sich das Bundesverwaltungsgericht nicht veranlasst, eine Heilung der Gehörsverletzung vorzunehmen respektive den Sachverhalt an Stelle der Vorinstanz vollständig festzustellen, zumal das Bundesamt das Versäumte nicht nachgeholt hat und dem Beschwerdeführer diesfalls eine Instanz verloren ginge. Im Übrigen ist die vorliegende Gehörsverletzung als erheblich zu bezeichnen, weshalb eine Heilung nicht angebracht ist.</w:t>
      </w:r>
    </w:p>
    <w:p>
      <w:r>
        <w:rPr>
          <w:b/>
        </w:rPr>
        <w:t>E. 3.5</w:t>
      </w:r>
    </w:p>
    <w:p>
      <w:r>
        <w:t>Nach dem Gesagten ist die Beschwerde im Sinne der Erwägungen gutzuheissen. Die Verfügung vom 15. März 2013 ist aufzuheben und die Sache zur Gewährung des rechtlichen Gehörs sowie zur vollständigen Feststellung des Sachverhaltes und anschliessenden Neubeurteilung an das BFM zurückzuweisen.</w:t>
      </w:r>
    </w:p>
    <w:p>
      <w:r>
        <w:rPr>
          <w:b/>
        </w:rPr>
        <w:t>E. 4.1</w:t>
      </w:r>
    </w:p>
    <w:p>
      <w:r>
        <w:t>Bei diesem Ausgang des Verfahrens sind keine Kosten zu erheben (Art. 63 Abs. 1 und 2 VwVG). Der Antrag auf Erlass der Verfahrenskosten wird damit hinfällig.</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Antrag in der Beschwerde, die Rechtsvertreterin sei im Falle des Obsiegens vor dem Entscheid einzuladen, ihre Kostennote einzureichen, wird abgewiesen, weil die Parteien, die Anspruch auf Parteientschädigung erheben, und die amtlich bestellten Anwälte und Anwältinnen dem Gericht vor dem Entscheid eine detaillierte Kostennote einzureichen haben, und dieses bei deren Ausbleiben die Entschädigung auf Grund der Akten festsetzt (vgl. Art. 14 VGKE). Der notwendige Vertretungsaufwand lässt sich zudem aufgrund der Aktenlage zuverlässig abschätzen, weshalb auf die Einholung einer Kostennote verzichtet werden kann. Gestützt auf die in Betracht zu ziehenden Bemessungsfaktoren (Art. 9-13 VGKE) und die Praxis in Vergleichsfällen ist dem Beschwerdeführer zulasten der Vorinstanz eine Parteientschädigung von insgesamt Fr. 1200.-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