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E-213/2016 vom 26. Juni 2017</w:t>
      </w:r>
    </w:p>
    <w:p>
      <w:r>
        <w:t>Bundesverwaltungsgericht, 2017-06-26, DE</w:t>
      </w:r>
    </w:p>
    <w:p>
      <w:r>
        <w:rPr>
          <w:b/>
        </w:rPr>
        <w:t xml:space="preserve">Quelle: </w:t>
      </w:r>
      <w:r>
        <w:t>https://mcp.opencaselaw.ch/entscheid/bvger_E-213_2016</w:t>
      </w:r>
    </w:p>
    <w:p>
      <w:r>
        <w:t>FR: TAF E-213/2016 du 26 juin 2017</w:t>
      </w:r>
    </w:p>
    <w:p>
      <w:r>
        <w:t>IT: TAF E-213/2016 del 26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Die Beschwerde ist im Verfahren einzelrichterlicher Zuständigkeit mit Zustimmung eines zweiten Richters oder einer zweiten Richterin zu behandeln, da sie sich - wie nachfolgend aufgezeigt - im Urteilszeitpunkt als offensichtlich begründet erweist (Art. 111 Bst. e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Den vorliegenden Akten ist zu entnehmen, dass sich der Beschwerdeführer vor seiner Einreise in die Schweiz in Ungarn aufgehalten hatte und dort am (...) September 2015 daktyloskopisch erfasst wurde. Das SEM ersuchte die ungarischen Behörden am 3. November 2015 um Aufnahme des Beschwerdeführers gestützt auf Art. 21 Dublin-III-VO. Die ungarischen Behörden liessen das Übernahmeersuchen innert der in Art. 22 Abs. 1 [und 6] Dublin-III-VO vorgesehenen Frist unbeantwortet, womit sie die Zuständigkeit Ungarns implizit anerkannten (Art. 22 Abs. 7 Dublin-III-VO). Die - im Übrigen vom Beschwerdeführer nicht bestrittene grundsätzliche Zuständigkeit Ungarns ist somit gegeben.</w:t>
      </w:r>
    </w:p>
    <w:p>
      <w:r>
        <w:rPr>
          <w:b/>
        </w:rPr>
        <w:t>E. 6.1</w:t>
      </w:r>
    </w:p>
    <w:p>
      <w:r>
        <w:t>Im Lichte von Art. 3 Abs. 2 Dublin-III-VO ist zu prüfen, ob es wesentliche Gründe für die Annahme gibt, das Asylverfahren und die Aufnahmebedingungen für Asylsuchende in Ungarn würden systemische Schwachstellen aufweisen, die eine Gefahr einer unmenschlichen oder entwürdigenden Behandlung im Sinne des Artikels 4 der EU-Grundrechtecharta mit sich bringen würden.</w:t>
      </w:r>
    </w:p>
    <w:p>
      <w:r>
        <w:rPr>
          <w:b/>
        </w:rPr>
        <w:t>E. 6.2</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6.3</w:t>
      </w:r>
    </w:p>
    <w:p>
      <w:r>
        <w:t>Mit derselben Begründung, wie sie vorstehend dargelegt wurde, ist es dem Gericht auch vorliegend nicht möglich, die Vorbringen in der Beschwerde vom 12. Januar 2016, soweit Frage der Zulässigkeit einer Überstellung nach Ungarn betreffend, zu beurteilen. Die angefochtene Verfügung ist folglich aufzuheben und die Sache zur vollständigen Sachverhaltsfeststellung sowie zu neuer Entscheidung an die Vorinstanz zurückzuweisen. Somit erübrigt sich eine weitergehende Auseinandersetzung mit den einzelnen Parteivorbringen.</w:t>
      </w:r>
    </w:p>
    <w:p>
      <w:r>
        <w:rPr>
          <w:b/>
        </w:rPr>
        <w:t>E. 7</w:t>
      </w:r>
    </w:p>
    <w:p>
      <w:r>
        <w:t>Nach dem Gesagten ist die Beschwerde gutzuheissen, soweit die Aufhebung der vorinstanzlichen Verfügung beantragt wurde.</w:t>
      </w:r>
    </w:p>
    <w:p>
      <w:r>
        <w:rPr>
          <w:b/>
        </w:rPr>
        <w:t>E. 8.1</w:t>
      </w:r>
    </w:p>
    <w:p>
      <w:r>
        <w:t>Bei diesem Ausgang des Verfahrens sind keine Kosten zu erheben (Art. 63 Abs. 1 und 2 VwVG).</w:t>
      </w:r>
    </w:p>
    <w:p>
      <w:r>
        <w:rPr>
          <w:b/>
        </w:rPr>
        <w:t>E. 8.2</w:t>
      </w:r>
    </w:p>
    <w:p>
      <w:r>
        <w:t>Nachdem der Beschwerdeführer mit seinem Begehren um Aufhebung der angefochtenen Verfügung durchgedrungen ist, ist ihm zulasten der Vor-instanz eine Parteientschädigung für die ihm notwendigerweise erwachsenen Kosten zuzusprechen (Art. 64 Abs. 1 VwVG; Art. 7 ff. des Reglements über die Kosten und Entschädigungen vor dem Bundesverwaltungsgericht vom 21. Februar 2008 [VGKE, SR 173.320.2]). Die von der vorherigen Rechtsvertretung mit der Beschwerde eingereichte Kostennote vom 12. Januar 2016 weist einen Vertretungsaufwand von insgesamt Fr. 1310.- auf, der dem Beschwerdeführer in Rechnung gestellt worden sei; unter Berücksichtigung der späteren Eingaben werden somit Parteikosten von ungefähr Fr. 1700.- geltend gemacht, was den konkreten Verfahrensumständen nicht angemessen erscheint. Unter Berücksichtigung der massgebenden Berechnungsfaktoren (vgl. Art. 7 ff. VGKE) und der Entschädigungspraxis des Gerichts in Vergleichsfällen wird die Parteientschädigung deshalb von Amtes wegen auf insgesamt Fr. 900.- (inkl. Auslagen und Mehrwertsteueranteil)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