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E-2134/2010 vom 17. September 2012</w:t>
      </w:r>
    </w:p>
    <w:p>
      <w:r>
        <w:t>Bundesverwaltungsgericht, 2012-09-17, FR</w:t>
      </w:r>
    </w:p>
    <w:p>
      <w:r>
        <w:rPr>
          <w:b/>
        </w:rPr>
        <w:t xml:space="preserve">Quelle: </w:t>
      </w:r>
      <w:r>
        <w:t>https://mcp.opencaselaw.ch/entscheid/bvger_E-2134_2010</w:t>
      </w:r>
    </w:p>
    <w:p>
      <w:r>
        <w:t>FR: TAF E-2134/2010 du 17 septembre 2012</w:t>
      </w:r>
    </w:p>
    <w:p>
      <w:r>
        <w:t>IT: TAF E-2134/2010 del 17 settembre 2012</w:t>
      </w:r>
    </w:p>
    <w:p>
      <w:pPr>
        <w:pStyle w:val="Heading2"/>
      </w:pPr>
      <w:r>
        <w:t>Regeste</w:t>
      </w:r>
    </w:p>
    <w:p>
      <w:r>
        <w:t>Asile et renvoi (recours 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La recourante a qualité pour recourir. Présenté dans la forme et les délais prescrits par la loi, le recours est recevable (art. 48 et 52 PA et 108 al. 1 LAsi).</w:t>
      </w:r>
    </w:p>
    <w:p>
      <w:r>
        <w:rPr>
          <w:b/>
        </w:rPr>
        <w:t>E. 2.1</w:t>
      </w:r>
    </w:p>
    <w:p>
      <w:r>
        <w:t>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4 de l'ancienne Constitution fédérale du 29 mai 1874 (aCst.), qui correspond sur ce point à l'art. 29 al. 2 Cst. L'autorité administrative n'est toutefois tenue de s'en saisir qu'à certaines conditions. Tel est le cas, selon la jurisprudence et la doctrine, lorsque le requérant invoque l'un des motifs de révision prévus par l'art. 66 PA, en particulier des faits nouveaux importants ou des moyens de preuves nouveaux qui n'avaient pas pu être invoqués dans la procédure ordinaire (« demande de réexamen qualifiée »), ou lorsque les circonstances (de fait voire de droit) se sont modifiées dans une mesure notable depuis le prononcé de la décision matérielle mettant fin à la procédure ordinaire. Dans ces hypothèses, la demande de réexamen doit être considérée comme un moyen de droit extraordinaire (ATF 127 I 133 consid. 6, ATF 124 II 1 consid. 3a et ATF 120 Ib 42 consid. 2b ; Jurisprudence et informations de la Commission suisse de recours en matière d'asile [JICRA] 2006 n° 20 consid. 2.1 p. 213, JICRA 2003 n° 17 p. 101ss, JICRA 2003 n° 7 consid. 1 p. 42s., JICRA 1995 n° 21 consid. 1b p. 203s., JICRA 1995 n° 14 consid. 5 p. 129s., JICRA 1993 n° 25 consid. 3 p. 178s., et jurisp. citée ; Ulrich Häfelin / Georg Müller / Felix Uhlmann, Allgemeines Verwaltungsrecht, 5ème éd., Zurich 2006, n. 1833, p. 392 ; Karin Scherrer, in Praxiskommentar VwVG, Zurich Bâle Genève 2009, n. 16s. ad art. 66 PA, p. 1303s. ; André Grisel, Traité de droit administratif, Neuchâtel 1984, vol. II, p. 947ss ; Alfred Kölz / Isabelle Häner, Verwaltungsverfahren und Verwaltungsrechts-pflege des Bundes, Zürich 1998, p. 156ss ; Ursina Beerli-Bonorand, Die ausserordentlichen Rechtsmittel in der Verwaltungsrechtspflege des Bundes und der Kantone, Zürich 1985, p. 171ss, spéc. p. 179 et 185s., et réf. cit.).</w:t>
      </w:r>
    </w:p>
    <w:p>
      <w:r>
        <w:rPr>
          <w:b/>
        </w:rPr>
        <w:t>E. 2.2</w:t>
      </w:r>
    </w:p>
    <w:p>
      <w:r>
        <w:t>Fondée sur la modification des circonstances, une demande de réexamen tend à faire adapter par l'autorité de première instance sa décision parce que, depuis son prononcé, s'est créée une situation nouvelle dans les faits ou sur le plan juridique (une modification du droit objectif, respectivement un changement de législation) qui constitue une modification notable des circonstances (JICRA 1995 n° 21 consid. 1b p. 203 ss et réf. cit. ; ATF 109 Ib 253 et jurisp. cit. ; cf. également Ulrich Häfelin / Georg Müller / Felix Uhlmann, op. cit., n. 1833, p. 392 ; Alfred Kölz / Isabelle Häner, op. cit., p. 160 ; René Rhinow / Heinrich Koller / Christina Kiss-Peter, Öffentliches Prozessrecht und Grundzüge des Justizverfassungsrechts des Bundes, Bâle/Francfort-sur-le-Main 1994, p. 12 ss).</w:t>
      </w:r>
    </w:p>
    <w:p>
      <w:r>
        <w:rPr>
          <w:b/>
        </w:rPr>
        <w:t>E. 3.1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3.2</w:t>
      </w:r>
    </w:p>
    <w:p>
      <w:r>
        <w:t>En l'espèce, produisant des éléments de preuve sous forme de rapports médicaux, la recourante remet en cause le caractère raisonnablement exigible de l'exécution de leur renvoi. Elle invoque une aggravation de son état de santé, soit une modification notable des circonstances. Les documents déposés à l'appui de la demande de reconsidération du 16 mai 2010, postérieurs à l'arrêt du Tribunal du 18 février 2010 clôturant la procédure ordinaire, sont des éléments nouveaux ouvrant la voie du réexamen dont l'ODM s'est saisi à juste titre. La question à résoudre est donc de déterminer, si les nouveaux documents déposés peuvent mener à une appréciation différente de celle effectuée en procédure ordinaire.</w:t>
      </w:r>
    </w:p>
    <w:p>
      <w:r>
        <w:rPr>
          <w:b/>
        </w:rPr>
        <w:t>E. 4.1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JICRA 2005 n° 24 consid. 10.1 et jurisp. citée). Le Tribunal n'ignore pas que le retour d'une personne dans son pays d'origine après un séjour à l'étranger de plusieurs années n'est pas exempt de difficultés. Il convient toutefois de rappeler à ce propos qu'une admission provisoire n'a pas pour but de soustraire des étrangers aux conditions de vie de leur pays d'origine, mais implique que ceux-ci se trouvent personnellement dans une situation si rigoureuse, assimilable à un danger concret, qu'on ne saurait exiger d'eux qu'ils tentent de se réadapter à leur existence passée. On ne saurait dès lors tenir exclusivement compte des circonstances générales (économiques, sociales, sanitaires) affectant l'ensemble de la population restée sur place, auxquelles la personne concernée sera également exposée à son retour.</w:t>
      </w:r>
    </w:p>
    <w:p>
      <w:r>
        <w:rPr>
          <w:b/>
        </w:rPr>
        <w:t>E. 4.2</w:t>
      </w:r>
    </w:p>
    <w:p>
      <w:r>
        <w:t>Il est notoire que la Macédoine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Par ailleurs, le Conseil fédéral, par décision du 23 juin 2003, a désigné, avec effet au 1er août 2003, la Macédoine comme pays sûr au sens de l'art. 34 al. 1 LAsi (safe country).</w:t>
      </w:r>
    </w:p>
    <w:p>
      <w:r>
        <w:rPr>
          <w:b/>
        </w:rPr>
        <w:t>E. 4.3</w:t>
      </w:r>
    </w:p>
    <w:p>
      <w:r>
        <w:t>S'agissant spécifiquement des personnes en traitement médical en Suisse, le Tribunal rappelle que l'exécution du renvoi ne devient inexigible qu'à partir du moment où, en raison de l'absence de possibilités de traitement dans le pays d'origine, l'état de santé de la personne concernée se dégraderait très rapidement, au point de conduire, d'une manière certaine, à la mise en danger concrète de l'intégrité physique ou psychique (cf. JICRA 2003 n° 24 p. 158). En revanche, l'art. 83 al. 4 LEtr ne saurait faire échec à une décision de renvoi au simple motif que l'infrastructure hospitalière et le savoir-faire médical prévalant en Suisse correspondent à un standard élevé non accessible dans le pays d'origine ou le pays tiers de résidence. Ainsi, il ne suffit pas en soi de constater, pour admettre l'inexigibilité de l'exécution du renvoi, qu'un traitement prescrit sur la base de normes suisses ne pourrait être poursuivi dans le pays de l'étranger. Ce qui compte, en effet, c'est l'accès à des soins, cas échéant alternatifs, qui, tout en correspondant aux standards du pays d'origine,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Si les soins essentiels nécessaires peuvent donc être assurés dans le pays d'origine ou de provenance de l'étranger concerné, l'exécution du renvoi dans l'un ou l'autre de ces pays sera raisonnablement exigible.</w:t>
      </w:r>
    </w:p>
    <w:p>
      <w:r>
        <w:rPr>
          <w:b/>
        </w:rPr>
        <w:t>E. 4.3.1</w:t>
      </w:r>
    </w:p>
    <w:p>
      <w:r>
        <w:t>En l'espèce, il ressort du dernier rapport médical du 26 juin 2012 que l'intéressée souffre principalement d'un état dépressif sévère avec symptômes psychotiques, de troubles de l'adaptation et d'un état de stress post traumatique, nécessitant une prise en charge psychothérapeutique hebdomadaire et une médication à base de psychotropes. Force est de constater que son état de santé est préoccupant. Il convient donc d'examiner si des soins essentiels suffisants (cf. ce sujet le consid. 4.3 ci-dessus) pourraient lui être assurés en cas de retour en Macédoine.</w:t>
      </w:r>
    </w:p>
    <w:p>
      <w:r>
        <w:rPr>
          <w:b/>
        </w:rPr>
        <w:t>E. 4.3.2</w:t>
      </w:r>
    </w:p>
    <w:p>
      <w:r>
        <w:t>De manière générale, le système de santé publique de la Macédoine est en mesure d'offrir à ses affiliés de bonnes prestations médicales ; toutefois, en psychiatrie, les prestations fournies ne sont pas du niveau de celles garanties dans d'autres domaines de la médecine. Pour remédier à cette situation, les autorités sanitaires ont décidé, en 2005, de désinstitutionnaliser les traitements des maladies mentales pour permettre une plus grande prise en charge des patients par les hôpitaux généraux au détriment des hôpitaux psychiatriques. Cette stratégie a notamment aussi entraîné l'ouverture, ces dernières années, de services communautaires de santé mentale dans diverses villes du pays. Y sont surtout traités ceux qui sont longtemps demeurés en institution psychiatrique et ceux qui ont besoin de services dans le domaine de la santé mentale. Sont aussi actives dans le domaine de la psychiatrie des organisations non gouvernementales (ONG), qui s'occupent en particulier de la réintégration dans la société des personnes atteintes dans leur santé mentale. Actuellement en Macédoine, les principales villes disposent d'infrastructures en mesure d'offrir à ceux qui en ont besoin des soins psychiatriques également disponibles dans les départements de neuropsychiatrie des hôpitaux généraux du pays. Cela étant, il y a néanmoins lieu de constater que les traitements proposés sont avant tout médicamenteux, portant peu d'attention aux dimensions psychosociales faute de personnel qualifié avec une formation appropriée en suffisance. Font ainsi les frais de ces lacunes les personnes qui souffrent de problèmes psychiques pour lesquels elles ont surtout besoin d'un soutien psychologique. S'agissant des financement des soins apportés, l'assurance maladie est obligatoire en Macédoine, la quasi-totalité de la population (95%) étant effectivement affiliée. Les prestations offertes par cette assurance sont relativement généreuses, celle-ci prenant notamment en charge toutes les prestations médicales de base. Les assurés ont, en outre, la possibilité de cotiser volontairement à une assurance complémentaire qui couvre les services médicaux qui ne sont pas pris en charge dans le cadre de l'assurance de base. Une participation des assurés à leurs frais de santé est néanmoins requise pour des soins spécialisés, notamment dans le domaine psychiatrique. Quant à l'accès aux médicaments, seuls les produits pharmaceutiques figurant sur une liste des médicaments remboursés par la caisse sont pris en charge dans le cadre du régime de base. De même, entre cinq et vingt pourcents du prix des médicaments sont à la charge de l'assuré. (cf. International Social Security Association [ISSA], Macedonia, http://www.issa.int Observatory CountryProfiles Regions Europe Macedonia, consulté le 21 septembre 2011 ; Centre des Liaisons Européennes et Internationales de Sécurité Sociale, le régime macédonien de sécurité sociale, 2008, http://www.cleiss.fr docs regimes regime_macedoine.html, consulté le 21 septembre 2011 ; Council of Europe: European Social Charter; European Committee of Social Rights, 2nd report on the implementation of the European Social Charter submitted by the government of the former Yugoslav Republic of Macedonia? [Articles 11, 12 and 13], 01.2010, p. 15 ; Republic of Macedonia, Ministry of Health, Health Strategy of the Republic of Macedonia, 2020, Safe, Efficient and Just Health Care System, Skopje, février 2007, p. 14 et 19 ; voir également arrêts du Tribunal administratif fédéral E-3378/2006 du 14 septembre 2009 et D-5005/2006 du 18 mars 2010).</w:t>
      </w:r>
    </w:p>
    <w:p>
      <w:r>
        <w:rPr>
          <w:b/>
        </w:rPr>
        <w:t>E. 4.3.3</w:t>
      </w:r>
    </w:p>
    <w:p>
      <w:r>
        <w:t>Telles que décritess dans le document médical précité, les affections psychiques dont souffre l'intéressée apparaissent de nature et d'une intensité telles qu'elles peuvent conduire, en cas d'exécution du renvoi, à une dégradation très rapide de son état de santé, au point de conduire d'une manière certaine à la mise en danger concrète et rapide sa vie (cf. ATAF 2007/10 consid. 5.1 p. 111; JICRA 2005 no 24 consid. 10.1 p. 215, JICRA 2003 no 24 consid. 5 p. 157 s. et réf. cit.). En effet, le risque suicidaire est très élevé en cas d'exécution du renvoi de l'intéressée en Macédoine. De plus, son état de santé nécessite un suivi psychothérapeutique très régulier, sur une longue période, dont la disponibilité n'est pas assurée. A cela s'ajoute que son état de santé fragile, la charge de ses deux petites filles et le manque de soutien familial l'empêcheront de trouver rapidement un quelconque emploi. De plus, la recourante sera totalement dénuée des ressources nécessaires à son traitement. Dans la pesée des intérêts en présence, il faut également tenir compte du fait que l'intéressée est la mère de deux enfants en bas âge et de la présence en Suisse de ses parents et de ses deux frères (E-5355/2010). Dans les circonstances telles que décrites ci-dessus, il n'est pas possible de conclure que l'intéressée aurait les ressources suffisantes pour se réintégrer dans leur pays d'origine et pour se procurer les soins dont elle a besoin.</w:t>
      </w:r>
    </w:p>
    <w:p>
      <w:r>
        <w:rPr>
          <w:b/>
        </w:rPr>
        <w:t>E. 4.4</w:t>
      </w:r>
    </w:p>
    <w:p>
      <w:r>
        <w:t>Dès lors, compte tenu de l'état de santé grave de la recourante, d'une menace sérieuse pesant sur sa vie en cas d'exécution du renvoi, et de la situation particulièrement fragile de cette femme avec ses deux petites filles, le Tribunal en arrive, dans une pesée des intérêts en présence, à la conclusion que leur retour forcé en Macédoine les exposeraient à un risque vital extrêmement important, confinant à la certitude. Il y a donc lieu de considérer que l'exécution de leur renvoi n'est pas raisonnablement exigible en l'état.</w:t>
      </w:r>
    </w:p>
    <w:p>
      <w:r>
        <w:rPr>
          <w:b/>
        </w:rPr>
        <w:t>E. 5</w:t>
      </w:r>
    </w:p>
    <w:p>
      <w:r>
        <w:t>Partant, le recours doit être admis. La décision de l'ODM du 18 février 2010 ainsi que les chiffres 4 et 5 des décisions des 2 avril 2007 et 7 mai 2009, en tant qu'ils portent sur l'exécution du renvoi de l'intéressée et ses filles en Macédoine, sont annulés. 6.1. La recourante ayant eu gain de cause, elle n'a pas à supporter de frais de procédure. La demande d'assistance judiciaire partielle est dès lors sans objet. 6.2. Conformément à l'art. 7 al. 1 et 2 du règlement du 21 février 2008 concernant les frais, dépens et indemnités fixés par le Tribunal administratif fédéral (FITAF, RS 173.320.2), le recourant, qui a eu gain de cause, a droit à des dépens pour les frais nécessaires causés par le litige Au vu de l'ensemble des circonstances du cas, et en l'absence de production d'un décompte de prestation, le Tribunal estime, au regard des art. 8ss FITAF, que le versement d'un montant de Fr. 400.-, à titre de dépens, apparaît équitable.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