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E-2131/2024 vom 5. Februar 2025</w:t>
      </w:r>
    </w:p>
    <w:p>
      <w:r>
        <w:t>Bundesverwaltungsgericht, 2025-02-05, DE</w:t>
      </w:r>
    </w:p>
    <w:p>
      <w:r>
        <w:rPr>
          <w:b/>
        </w:rPr>
        <w:t xml:space="preserve">Quelle: </w:t>
      </w:r>
      <w:r>
        <w:t>https://mcp.opencaselaw.ch/entscheid/bvger_E-2131_2024</w:t>
      </w:r>
    </w:p>
    <w:p>
      <w:r>
        <w:t>FR: TAF E-2131/2024 du 5 février 2025</w:t>
      </w:r>
    </w:p>
    <w:p>
      <w:r>
        <w:t>IT: TAF E-2131/2024 del 5 febbraio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E-2131/2024 Seite 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rPr>
          <w:b/>
        </w:rPr>
        <w:t>E. 4.1</w:t>
      </w:r>
    </w:p>
    <w:p>
      <w:r>
        <w:t>Die Beschwerdeführenden rügen in formeller Hinsicht eine Verletzung des rechtlichen Gehörs. Namentlich habe die Vorinstanz die eingereichten Beweismittel und die aktuelle Rechtsprechung zu politischen Verfahren in der Türkei nicht berücksichtigt. Ausserdem habe sie die aus dem Anspruch auf rechtliches Gehör fliessende Begründungspflicht verletzt, indem sie pauschal behaupte, der Beschwerdeführerin drohe bei einer Rückkehr in die Türkei mit erheblicher Wahrscheinlichkeit keine asylrelevante Verfol- gung.</w:t>
      </w:r>
    </w:p>
    <w:p>
      <w:r>
        <w:rPr>
          <w:b/>
        </w:rPr>
        <w:t>E. 4.2</w:t>
      </w:r>
    </w:p>
    <w:p>
      <w:r>
        <w:t>Der in Art. 29 Abs. 2 BV verankerte Anspruch auf rechtliches Gehör, welcher in den Art. 29 ff. VwVG konkretisiert wird, dient einerseits der Auf- klärung des Sachverhalts, andererseits stellt er ein persönlichkeitsbezoge- nes Mitwirkungsrecht der Partei dar. Er verlangt, dass die verfügende Be- hörde die Vorbringen des Betroffenen tatsächlich hört, sorgfältig und ernst- haft prüft und in der Entscheidfindung berücksichtigt, was sich entspre- chend in der Entscheidbegründung niederschlagen muss (vgl. BVGE 2015/10 E. 3.3). Diese dient dazu, der Partei die für den Entscheid mass- gebenden Umstände zur Kenntnis zu bringen, damit sie sich ein Bild über die Tragweite machen, ihn auf seine Richtigkeit hin überprüfen und gege- benenfalls sachgemäss anfechten kann (vgl. BGE 141 IV 244 E. 1.2.1).</w:t>
      </w:r>
    </w:p>
    <w:p>
      <w:r>
        <w:rPr>
          <w:b/>
        </w:rPr>
        <w:t>E. 4.3</w:t>
      </w:r>
    </w:p>
    <w:p>
      <w:r>
        <w:t>Zunächst ist festzustellen, dass der Einwand, die Vorinstanz habe gel- tende Rechtsprechung missachtet, fehl geht. Nebst dem, dass sich dieser Vorwurf als unzutreffend erweist, würde eine derartige Vorgehensweise keine Verletzung des rechtlichen Gehörs begründen, mithin keinen formel-</w:t>
      </w:r>
    </w:p>
    <w:p>
      <w:r>
        <w:t>E-2131/2024 Seite 6 len Aspekt betreffen, sondern einen materiellen. Sodann hat die Vorinstanz in der angefochtenen Verfügung ausführlich und unter Hinweis auf die ak- tuelle Rechtsprechung des Bundesverwaltungsgerichts dargelegt, weshalb sie eine asylrechtlich relevante Verfolgung der Beschwerdeführerin für nicht wahrscheinlich hält. Dabei hat sie auch sämtliche eingereichte Be- weismittel mitberücksichtigt (vgl. angefochtene Verfügung Ziff. I/3. S.4, Ziff. II/2. S. 6 ff.). Eine sachgerechte Anfechtung der Verfügung war sodann of- fensichtlich ohne Weiteres möglich. Da keine Verletzungen des rechtlichen Gehörs auszumachen sind, sich die formelle Rüge mithin als unbegründet erweist, ist der Rückweisungsantrag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Subjektive Nachfluchtgründe sind dann anzunehmen, wenn eine asyl- suchende Person erst durch die Ausreise aus dem Heimat- oder Herkunfts- staat oder wegen ihres Verhaltens nach der Ausreise eine Verfolgung im Sinne von Art. 3 AsylG zu befürchten hat. Wesentlich ist, ob die heimatli- chen Behörden das Verhalten der asylsuchenden Person als staatsfeind- lich einstufen und diese deswegen bei einer Rückkehr eine Verfolgung be- 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6.1</w:t>
      </w:r>
    </w:p>
    <w:p>
      <w:r>
        <w:t>In der angefochtenen Verfügung kommt die Vorinstanz zum Schluss, die Vorbringen der Beschwerdeführenden hielten den Anforderungen an die Flüchtlingseigenschaft gemäss Art. 3 AsylG nicht stand.</w:t>
      </w:r>
    </w:p>
    <w:p>
      <w:r>
        <w:t>E-2131/2024 Seite 7 Zwar könne nicht ausgeschlossen werden, dass es wegen der Sympathie der Beschwerdeführerin für die HDP zu Drohungen beziehungsweise zu einer Hausdurchsuchung gekommen sei. Da sie für die genannte Partei jedoch nicht in exponierter Stellung tätig gewesen sei, würden sich in die- sem Zusammenhang keine Hinweise auf eine asylrechtlich relevante Ver- folgung ergeben. Ferner würden die geltend gemachten Schikanen und Unterdrückungsmassnahmen durch die türkischen Behörden oder Dritte in ihrer Intensität nicht über die Nachteile hinausgehen, welche weite Teile der kurdischen Bevölkerung in der Türkei in ähnlicher Weise treffen könn- ten und würden somit ebenfalls keine asylrechtliche Relevanz entfalten. Sodann habe die Beschwerdeführerin wegen des geltend gemachten Strafverfahrens bei einer Rückkehr in die Türkei nicht mit überwiegender Wahrscheinlichkeit eine flüchtlingsrechtlich relevante Verfolgung zu be- fürchten. Die eingereichten Beweismittel würden zeigen, dass zwar ein staatsanwaltliches Ermittlungs-/Untersuchungsverfahren, indessen (noch) kein Gerichtsverfahren eröffnet worden sei. Da in der Türkei solche Verfah- ren oft in teils hoher Zahl eingeleitet, aber häufig auch wieder eingestellt würden, sei es zum jetzigen Zeitpunkt offen, ob die Ermittlungen vorliegend in absehbarer Zeit überhaupt zur Eröffnung eines Gerichtsverfahrens oder späteren Verurteilung der Beschwerdeführerin aus einem flüchtlingsrecht- lich relevanten Motiv führen werden. Schliesslich sei aufgrund der Akten- lage davon auszugehen, dass sie das Strafverfahren mit hoher Wahr- scheinlichkeit bewusst eingeleitet habe oder habe einleiten lassen, um subjektive Nachfluchtgründe zu begründen und somit einen Schutzstatus in der Schweiz zu erlangen.</w:t>
      </w:r>
    </w:p>
    <w:p>
      <w:r>
        <w:rPr>
          <w:b/>
        </w:rPr>
        <w:t>E. 6.2</w:t>
      </w:r>
    </w:p>
    <w:p>
      <w:r>
        <w:t>In der Rechtsmitteleingabe bringen die Beschwerdeführenden unter Berufung auf das Urteil des Bundesverwaltungsgerichts D-1471/2023 vom 18. Januar 2024 vor, die dortige Rechtsprechung sei auf den vorliegenden Fall anzuwenden. Die Beschwerdeführerin habe seit dem Jahr 2020 Bei- träge auf den sozialen Medien veröffentlicht, sich seit Jahren zudem auch in der Öffentlichkeit politisch engagiert und sei daher bereits im Visier der türkischen Behörden gestanden. Das mache deutlich, dass das in der Tür- kei eröffnete Strafverfahren nicht durch sie selbst initiiert worden sei. So- dann könne dem Bericht der Generalstaatsanwaltschaft D._______ vom (…) Februar 20(…) entnommen werden, dass die Beschwerdeführerin wei- terhin von den türkischen Behörden überwacht werde und diesen bekannt sei, dass sie an einer prokurdischen Demonstration in der Schweiz teilge- nommen habe. Bei einer Rückkehr in die Türkei drohe ihr mit hoher Wahr- scheinlichkeit eine Verhaftung sowie Verurteilung wegen Propaganda für</w:t>
      </w:r>
    </w:p>
    <w:p>
      <w:r>
        <w:t>E-2131/2024 Seite 8 eine Terrororganisation zu einer unbedingten Freiheitsstrafe, was als asyl- rechtlich relevant zu qualifizieren sei.</w:t>
      </w:r>
    </w:p>
    <w:p>
      <w:r>
        <w:rPr>
          <w:b/>
        </w:rPr>
        <w:t>E. 6.3</w:t>
      </w:r>
    </w:p>
    <w:p>
      <w:r>
        <w:t>In der Vernehmlassung führt die Vorinstanz aus, die Teilnahme der Be- schwerdeführerin an der Demonstration in der Schweiz habe nicht zu ei- nem neuen Verfahren geführt. Vielmehr sei dies in das bestehende Ermitt- lungsverfahren mitaufgenommen worden. Weder dem Nachrichtenartikel, noch dem darin enthaltenen Video zur Demonstration lasse sich eine öf- fentliche Exponierung der Beschwerdeführerin entnehmen, welche den Eindruck erwecken würde, dass sie zu einer Gefahr für den Bestand des türkischen Regimes werden könnte. Sodann sei nicht nachvollziehbar, wie die Behörden von der Teilnahme der Beschwerdeführerin an dieser Veran- staltung überhaupt erfahren hätten oder wie die Beschwerdeführerin die rein interne Behördenkorrespondenz (Untersuchungsberichte) erhalten habe.</w:t>
      </w:r>
    </w:p>
    <w:p>
      <w:r>
        <w:rPr>
          <w:b/>
        </w:rPr>
        <w:t>E. 7.1</w:t>
      </w:r>
    </w:p>
    <w:p>
      <w:r>
        <w:t>Das Bundesverwaltungsgericht hat im Referenzurteil E-4103/2024 vom</w:t>
      </w:r>
    </w:p>
    <w:p>
      <w:r>
        <w:rPr>
          <w:b/>
        </w:rPr>
        <w:t>E. 7.2</w:t>
      </w:r>
    </w:p>
    <w:p>
      <w:r>
        <w:t>Die Beschwerdeführerin hat gemäss eigenen Angaben für die HDP le- diglich Flyer für bevorstehende Feierlichkeiten verteilt und sich mit anderen Frauen im Parteibüro getroffen. Sie trat demnach nicht in exponierter Stel- lung in der Partei auf und wies bis zur Ausreise kein geschärftes politisches Profil auf, mithin lagen zu diesem Zeitpunkt keine Vorfluchtgründe vor, was die Vorinstanz zu Recht festgestellt hat. Betreffend die Teilnahme an einer kurdischen Demonstration in F._______ und der damit einhergehenden Berichterstattung ist festzuhalten, dass die Beschwerdeführerin im Nach- richtenartikel nicht namentlich genannt wird und dem darin erwähnten Vi- deo nicht entnommen werden kann, dass sie augenscheinlich aus der Masse hervorstechen oder sich speziell exponieren würde. Entsprechend macht sie nicht geltend, sie habe bei der Organisation und Durchführung der Veranstaltung eine tragende Rolle gespielt. Daher ist das Vorliegen von subjektiven Nachfluchtgründen ebenfalls zu verneinen. Gesamthaft be- trachtet ist nicht von einem flüchtlingsrechtlich relevanten (exil-)politischen</w:t>
      </w:r>
    </w:p>
    <w:p>
      <w:r>
        <w:t>E-2131/2024 Seite 9 Engagement und damit auch nicht von einem individuellen Politmalus aus- zugehen. Zudem hat sie nicht angegeben, in der Türkei jemals strafrecht- lich verfolgt, verhaftet oder verurteilt worden zu sein. Damit dürfte sie im Falle einer Verurteilung als Ersttäterin gelten, was das Risiko einer unbe- dingten Freiheitsstrafe weiter relativieren dürfte.</w:t>
      </w:r>
    </w:p>
    <w:p>
      <w:r>
        <w:rPr>
          <w:b/>
        </w:rPr>
        <w:t>E. 7.3</w:t>
      </w:r>
    </w:p>
    <w:p>
      <w:r>
        <w:t>Demnach kann die Beschwerdeführerin, wie bereits die Vorinstanz zu Recht festgestellt hat, mit den eingereichten Dokumenten – falls von ihrer Echtheit auszugehen wäre – nur die Phase eines Ermittlungsstadiums be- legen und es ist offen, ob das zuständige Gericht eine Anklage als begrün- det erachten und ein Gerichtsverfahren eröffnen würde und die Beschwer- deführerin aus flüchtlingsrechtlich relevanten Gründen zu einer Strafe von flüchtlingsrechtlich relevantem Ausmass verurteilen würde.</w:t>
      </w:r>
    </w:p>
    <w:p>
      <w:r>
        <w:rPr>
          <w:b/>
        </w:rPr>
        <w:t>E. 7.4</w:t>
      </w:r>
    </w:p>
    <w:p>
      <w:r>
        <w:t>Sodann ist das von den Beschwerdeführenden zitierte Urteil des Bun- desverwaltungsgerichts D-1471/2023 vom 18. Januar 2024 entgegen ihrer Ansicht mit dem vorliegenden Fall nicht vergleichbar. Die Beschwerdefüh- rerin weist – im Gegensatz zum Beschwerdeführer im zitierten Urteil – kein relevantes politisches Profil auf. Ferner stammte der Beschwerdeführer im vorgenannten Verfahren aus einer politisch aktiven Familie, welche nach- weislich aus einem flüchtlingsrechtlich relevanten Motiv verfolgt wurde. Derartiges kann den Akten vorliegend nicht entnommen werden. Ausser- dem konnte die Beschwerdeführerin die Türkei gemeinsam mit ihren Kin- dern legal auf dem Flugweg verlassen. Ihr Mann hält sich gemäss ihren Angaben sodann weiterhin in der Türkei auf und geht unbehelligt seiner Arbeit in einem staatlichen (…) nach. Es ist daher nicht von einem derart grossen Interesse der türkischen Behörden an der Beschwerdeführerin auszugehen, als dass es als flüchtlingsrechtlich relevant zu qualifizieren wäre. Daran vermögen auch die behördlichen Nachfragen nach ihrem Ver- bleib nichts zu ändern.</w:t>
      </w:r>
    </w:p>
    <w:p>
      <w:r>
        <w:rPr>
          <w:b/>
        </w:rPr>
        <w:t>E. 7.5</w:t>
      </w:r>
    </w:p>
    <w:p>
      <w:r>
        <w:t>Nach dem Gesagten liegen weder Vorfluchtgründe noch subjektive Nachfluchtgründe vor, weshalb die Vorinstanz die Asylgesuche der Be- schwerdeführenden zu Recht abgewiesen hat.</w:t>
      </w:r>
    </w:p>
    <w:p>
      <w:r>
        <w:rPr>
          <w:b/>
        </w:rPr>
        <w:t>E. 8</w:t>
      </w:r>
    </w:p>
    <w:p>
      <w:r>
        <w:t>November 2024 festgehalten, dass die Tatsache, dass in der Türkei staatsanwaltschaftliche Ermittlungsverfahren wegen «Präsidentenbeleidi- gung» oder «Propaganda für eine terroristische Organisation» – auch in Kombination – hängig sind, nicht generell dazu führt, dass türkische Asyl- suchende in der Schweiz als Flüchtlinge anerkannt werden. Im Einzelfall müsse indes geprüft werden, ob Hinweise auf einen individuellen Polit- malus vorliegen (insbesondere a.a.O. E. 8.7.3 und E. 8.8).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E-2131/2024 Seite 10</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Sodann ergeben sich weder aus den Aussagen der Beschwerdeführenden noch aus den Akten Anhaltspunkte dafür, dass sie für den Fall einer Aus- schaffung in die Türkei dort mit beachtlicher Wahrscheinlichkeit einer nach Art. 3 EMRK oder Art. 1 FoK verbotenen Strafe oder Behandlung ausge- setzt wären.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E-2131/2024 Seite 11</w:t>
      </w:r>
    </w:p>
    <w:p>
      <w:r>
        <w:rPr>
          <w:b/>
        </w:rPr>
        <w:t>E. 9.3.1</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D-5241/2024 vom 20. September 2024 E. 8.4.2).</w:t>
      </w:r>
    </w:p>
    <w:p>
      <w:r>
        <w:rPr>
          <w:b/>
        </w:rPr>
        <w:t>E. 9.3.2</w:t>
      </w:r>
    </w:p>
    <w:p>
      <w:r>
        <w:t>Soweit die Beschwerdeführerin in der Rechtsmitteleingabe vorbringt, aber nicht weiter belegt, sie sei psychisch in einer sehr schlechten Verfas- sung und könne daher nicht wieder zurück in die Türkei, ist darauf hinzu- weisen, dass die Behandlung psychischer Probleme in der Türkei sowohl stationär als auch ambulant möglich ist. Es existieren landesweit psychiat- rische Einrichtungen und es stehen im Bedarfsfall auch Psychopharmaka zur Verfügung (vgl. Referenzurteil des BVGerE-1948/2018 vom 12. Juni 2018 E. 7.3.5.3 m.H.). Es kann somit davon ausgegangen werden, dass die Beschwerdeführerin eine allfällig notwendige medizinische Behandlung im Heimatstaat erhältlich machen kann.</w:t>
      </w:r>
    </w:p>
    <w:p>
      <w:r>
        <w:rPr>
          <w:b/>
        </w:rPr>
        <w:t>E. 9.3.3</w:t>
      </w:r>
    </w:p>
    <w:p>
      <w:r>
        <w:t>Weiter hat sich die Vorinstanz in der angefochtenen Verfügung aus- führlich zum Kindeswohl geäussert und zutreffend ausgeführt, dass dieses dem Wegweisungsvollzug nicht entgegensteht. Mit diesen Erwägungen setzen sich die Beschwerdeführenden in der Rechtsmitteleingabe nicht auseinander, weshalb die korrekten Ausführungen der Vorinstanz zu be- stätigen sind. Ebenso hat die Vorinstanz zu Recht ausgeführt, der Ehe- mann und Vater der Beschwerdeführenden lebe nach wie vor in E._______, weshalb sich die Rückkehr dorthin auch vor diesem Hinter- grund als zumutbar erweist.</w:t>
      </w:r>
    </w:p>
    <w:p>
      <w:r>
        <w:rPr>
          <w:b/>
        </w:rPr>
        <w:t>E. 9.4</w:t>
      </w:r>
    </w:p>
    <w:p>
      <w:r>
        <w:t>Die Beschwerdeführenden verfügen schliesslich über türkische Identi- tätskarten (gültig bis […]) sowie «(…)»’s, weshalb der Vollzug der Wegwei- 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t>E-2131/2024 Seite 12</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den Beschwerdefüh- renden aufzuerlegen (Art. 63 Abs. 1 VwVG) und auf Fr. 750.– festzusetzen (Art. 1–3 des Reglements vom 21. Februar 2008 über die Kosten und Ent- schädigungen vor dem Bundesverwaltungsgericht [VGKE, SR 173.320.2]). Der am 6. Mai 2024 geleistete Kostenvorschuss in der Höhe von Fr. 750.– ist zur Bezahlung der Verfahrenskosten zu verwenden. (Dispositiv nächste Seite)</w:t>
      </w:r>
    </w:p>
    <w:p>
      <w:r>
        <w:t>E-2131/2024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