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E-2131/2020 vom 11. Mai 2020</w:t>
      </w:r>
    </w:p>
    <w:p>
      <w:r>
        <w:t>Bundesverwaltungsgericht, 2020-05-11, DE</w:t>
      </w:r>
    </w:p>
    <w:p>
      <w:r>
        <w:rPr>
          <w:b/>
        </w:rPr>
        <w:t xml:space="preserve">Quelle: </w:t>
      </w:r>
      <w:r>
        <w:t>https://mcp.opencaselaw.ch/entscheid/bvger_E-2131_2020</w:t>
      </w:r>
    </w:p>
    <w:p>
      <w:r>
        <w:t>FR: TAF E-2131/2020 du 11 mai 2020</w:t>
      </w:r>
    </w:p>
    <w:p>
      <w:r>
        <w:t>IT: TAF E-2131/2020 del 11 maggio 2020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gutgeheissen.</w:t>
      </w:r>
    </w:p>
    <w:p>
      <w:r>
        <w:rPr>
          <w:b/>
        </w:rPr>
        <w:t>E. 2</w:t>
      </w:r>
    </w:p>
    <w:p>
      <w:r>
        <w:t>Das Urteil E-1861/2020 vom 14. April 2020 wird aufgehoben und das Beschwerdeverfahren wieder aufgenommen.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Dem Gesuchsteller wird vom Bundesverwaltungsgericht für das Revisionsverfahren eine Parteientschädigung in der Höhe von Fr. 500.- ausgerichtet.</w:t>
      </w:r>
    </w:p>
    <w:p>
      <w:r>
        <w:rPr>
          <w:b/>
        </w:rPr>
        <w:t>E. 5</w:t>
      </w:r>
    </w:p>
    <w:p>
      <w:r>
        <w:t>Dieses Urteil geht an den Gesuchsteller, das SEM und die kantonale Migrationsbehörde. Die vorsitzende Richterin: Der Gerichtsschreiber: Esther Marti Olivier Gloor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