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E-2131/2018 vom 25. April 2018</w:t>
      </w:r>
    </w:p>
    <w:p>
      <w:r>
        <w:t>Bundesverwaltungsgericht, 2018-04-25, DE</w:t>
      </w:r>
    </w:p>
    <w:p>
      <w:r>
        <w:rPr>
          <w:b/>
        </w:rPr>
        <w:t xml:space="preserve">Quelle: </w:t>
      </w:r>
      <w:r>
        <w:t>https://mcp.opencaselaw.ch/entscheid/bvger_E-2131_2018</w:t>
      </w:r>
    </w:p>
    <w:p>
      <w:r>
        <w:t>FR: TAF E-2131/2018 du 25 avril 2018</w:t>
      </w:r>
    </w:p>
    <w:p>
      <w:r>
        <w:t>IT: TAF E-2131/2018 del 25 aprile 2018</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AsylG).Aufgrund des engen Bezugs dieses Verfahrens zum Beschwerdeverfahren des Sohnes der Beschwerdeführerin (E-2130/2018) werden die beiden Verfahren koordiniert - und insbesondere durch denselben Spruchkörper - behandelt.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3.3</w:t>
      </w:r>
    </w:p>
    <w:p>
      <w:r>
        <w:t>Die Vorinstanz begründet ihre Verfügung im Asylpunkt damit, die Vorbringen der Beschwerdeführerin seien nicht glaubhaft. Nach Studium der Akten schliesst sich das Bundesverwaltungsgericht dieser Auffassung an. Die Vorinstanz hat die durch die Praxis konkretisierten Massstäbe zum Glaubhaftmachen von Asylvorbringen (Art. 7 AsylG) im vorliegenden Fall zutreffend angewendet und ist zu Recht zum Schluss gelangt, die Beschwerdeführerin habe weder die Umstände des Todes ihres Mannes noch die Umstände der angeblichen Rachehandlung ihres Sohnes D._______ glaubhaft gemacht. Tatsächlich bleiben die Aussagen der Beschwerdeführerin während der BzP und der ausführlichen Anhörung durchgehend vage und oberflächlich; sie weisen keinerlei Realkennzeichen auf und sind ausserdem teilweise widersprüchlich (instruktiv in diesem Zusammenhang die Schilderung der angeblichen Drohungen der Angehörigen von C._______, A18 F 52-60). Zwar kann der Beschwerdeführerin angesichts ihrer psychischen Erkrankung (vgl. dazu den Bericht von F._______ vom 20. März 2018 [A16]) nicht vorgeworfen werden, dass sie sich an vieles nicht mehr erinnert; wohl wäre aber von ihr zu erwarten, dass sie kürzlich erlebte einschneidende Erlebnisse mit einem Mindestmass an Realkennzeichen schildern kann. Angesichts des völligen Fehlens solcher Realkennzeichen ist zu schliessen, dass die Beschwerdeführerin das Geschilderte nicht selbst erlebt, sondern womöglich von ihrem Sohn im Hinblick auf das anstehende Asylverfahren erzählt bekommen hat.Zur Vermeidung von Wiederholungen kann im Übrigen auf die zutreffenden und sorgfältig begründeten Erwägungen in der angefochtenen Verfügung verwiesen werden, mit denen sich die Beschwerdeführerin im vorliegenden Verfahren nicht einmal ansatzweise auseinandersetzt. Zudem ist auf die E. 3.3-3.5 des Urteils E-2130/2018 zu verweisen, in denen sich das Gericht mit den Schilderungen des Sohnes der Beschwerdeführerin befasst hat und ebenfalls zum Schluss gekommen ist, dass die Verfolgungsvorbringen nicht glaubhaft gemacht seien.</w:t>
      </w:r>
    </w:p>
    <w:p>
      <w:r>
        <w:rPr>
          <w:b/>
        </w:rPr>
        <w:t>E. 3.4</w:t>
      </w:r>
    </w:p>
    <w:p>
      <w:r>
        <w:t>Zu Recht hat die Vorinstanz deshalb die Flüchtlingseigenschaft der Beschwerdeführerin verneint und ihr Asylgesuch abgewiesen.</w:t>
      </w:r>
    </w:p>
    <w:p>
      <w:r>
        <w:rPr>
          <w:b/>
        </w:rPr>
        <w:t>E. 4</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Im Urteil des Bundesverwaltungsgerichts E-3737/2015 vom 14. Dezember 2015 E. 7.4 (als Referenzurteil publiziert) wurde festgestellt, dass in den vier Provinzen der ARK (das betreffende Gebiet wird seit Anfang 2015 durch die Provinzen Dohuk, Erbil, Suleimaniya sowie der von Letzterer abgespalteten Provinz Halabja gebildet) nicht von einer Situation allgemeiner Gewalt im Sinne von Art. 83 Abs. 4 AuG auszugehen ist und keine konkreten Anhaltspunkte für die Annahme vorliegen, dies werde sich in absehbarer Zeit massgeblich verändern. An dieser Einschätzung vermögen die Unruhen im Zusammenhang mit dem Unabhängigkeitsreferendum vom 25. September 2017 nichts zu ändern, zumal sich diese in erster Linie auf das Gebiet rund um Kirkuk konzentrieren. Angesichts der Belastung der behördlichen Infrastrukturen durch intern vertriebene Personen ist allerdings jeweils der Prüfung des Vorliegens begünstigender individueller Faktoren - insbesondere denjenigen eines tragfähigen familiären Beziehungsnetzes (vgl. auch BVGE 2008/5 E. 7.5) - besonderes Gewicht beizumessen.</w:t>
      </w:r>
    </w:p>
    <w:p>
      <w:r>
        <w:rPr>
          <w:b/>
        </w:rPr>
        <w:t>E. 5.4.2</w:t>
      </w:r>
    </w:p>
    <w:p>
      <w:r>
        <w:t>Die verwitwete Beschwerdeführerin lebte vor ihrer Ausreise gemeinsam mit ihren beiden Söhnen in G._______ in der Nähe von H._______, Provinz Suleimaniya (vgl. A11, F 2.01). Ferner leben neben ihrer Tochter viele weitere Verwandte in der Nähe (A11, F 3.01; A18, F 11-15); ein Teil dieser Verwandten hat sie und ihren Sohn vor und während der Ausreise finanziell und anderweitig unterstützt (vgl. A18, F 17-18). Es kann davon ausgegangen werden, dass dieses familiäre Bezugsnetz der Beschwerdeführerin nach der Rückkehr zur Verfügung stehen und sie namentlich - wie bereits bisher - bei der Bewältigung ihrer medizinisch begründeten Einschränkungen unterstützen wird. Weiter ist davon auszugehen, dass die Beschwerdeführerin trotz des Verkaufs ihrer Tiere vor ihrer Ausreise - gegebenenfalls unter Mithilfe ihrer Angehörigen bei der Beschaffung neuer Tiere - ihre Tätigkeiten im Haushalt und in der Verarbeitung von Milch wieder aufnehmen kann (vgl. A18, F 12 ff.). Ausserdem hat sie eigenen Angaben zufolge eine Rente erhalten (A11, F 1.17.05). In Bezug auf die gesundheitlichen Probleme der Beschwerdeführerin (Depression [A18, F 19 ff.]; ausserdem womöglich Schizophrenie [vgl. A15]) ist mit der Vorinstanz festzuhalten, dass sie sich bereits in ihrer Heimat in ärztliche Behandlung begeben und dort das Medikament Fluphenazine Decanoate Injection erhalten hat, durch welches sich ihr Gesundheitszustand nach ihren eigenen Angaben verbessert hat (A18, F 27). Es ist davon auszugehen, dass sie diese Behandlung nach der Rückkehr in ihre Heimat fortführen kann. Somit sprechen keine individuellen Gründe gegen die Rückkehr in den Heimatstaat, zumal nicht davon auszugehen ist, dass die Beschwerdeführerin in der ARK in eine existenzgefährdende Situation geraten wird.</w:t>
      </w:r>
    </w:p>
    <w:p>
      <w:r>
        <w:rPr>
          <w:b/>
        </w:rPr>
        <w:t>E. 5.4.3</w:t>
      </w:r>
    </w:p>
    <w:p>
      <w:r>
        <w:t>Nach dem Gesagten erweist sich der Vollzug der Wegweisung auch als zumutbar.</w:t>
      </w:r>
    </w:p>
    <w:p>
      <w:r>
        <w:rPr>
          <w:b/>
        </w:rPr>
        <w:t>E. 5.5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5.6</w:t>
      </w:r>
    </w:p>
    <w:p>
      <w:r>
        <w:t>Zusammenfassend hat die Vorinstanz den Wegweisungsvollzug zu Recht als zulässig, zumutbar und möglich bezeichnet.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Die gestellten Begehren erweisen sich als aussichtslos, weshalb das Gesuch um unentgeltliche Rechtspflege ungeachtet einer allfälligen prozessualen Bedürftigkeit abzuweisen ist (Art. 110a Abs. 1 Bst. a AsylG). Das Begehren um Verzicht auf die Erhebung eines Kostenvorschusses ist mit dem vorliegenden Urteil gegenstandslos geworden.</w:t>
      </w:r>
    </w:p>
    <w:p>
      <w:r>
        <w:rPr>
          <w:b/>
        </w:rPr>
        <w:t>E. 7.2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