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E-2130/2018 vom 25. April 2018</w:t>
      </w:r>
    </w:p>
    <w:p>
      <w:r>
        <w:t>Bundesverwaltungsgericht, 2018-04-25, DE</w:t>
      </w:r>
    </w:p>
    <w:p>
      <w:r>
        <w:rPr>
          <w:b/>
        </w:rPr>
        <w:t xml:space="preserve">Quelle: </w:t>
      </w:r>
      <w:r>
        <w:t>https://mcp.opencaselaw.ch/entscheid/bvger_E-2130_2018</w:t>
      </w:r>
    </w:p>
    <w:p>
      <w:r>
        <w:t>FR: TAF E-2130/2018 du 25 avril 2018</w:t>
      </w:r>
    </w:p>
    <w:p>
      <w:r>
        <w:t>IT: TAF E-2130/2018 del 25 aprile 2018</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AsylG).Aufgrund des engen Bezugs dieses Verfahrens zum Beschwerdeverfahren der Mutter des Beschwerdeführers (E-2131/2018) werden die beiden Verfahren koordiniert - und insbesondere durch denselben Spruchkörper - behandelt.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3.3</w:t>
      </w:r>
    </w:p>
    <w:p>
      <w:r>
        <w:t>Das SEM begründet seine Verfügung im Asylpunkt damit, die Vorbringen des Beschwerdeführers seien nicht glaubhaft. Nach Studium der Akten schliesst sich das Bundesverwaltungsgericht dieser Auffassung an. Die Vorinstanz hat die durch die Praxis konkretisierten Massstäbe zum Glaubhaftmachen von Asylvorbringen (Art. 7 AsylG) im vorliegenden Fall zutreffend angewendet und ist zu Recht zum Schluss gelangt, der Beschwerdeführer habe weder die Umstände des Todes seines Vaters (vgl. insbesondere auch den Widerspruch zum Fundort seiner Leiche [A7, F 7.01 gegenüber A12, F 74) noch die Umstände der angeblichen Rachehandlung seines Bruders (vgl. die überaus unsubstanziierte Schilderung in A12, F 79-100) glaubhaft gemacht. Im Zusammenhang der angeblich fluchtauslösenden Bedrohung durch die Familie von C._______ fallen massive zeitliche Inkohärenzen ins Auge. Der Beschwerdeführer gab wiederholt zu Protokoll, sein Bruder habe C._______ rund zwei Monate vor seiner Ankunft am Flughafen Zürich ermordet (A7, F 5.01; A12, F 65 ff.), ihn unmittelbar darauf angerufen und zum Untertauchen aufgefordert; nach verschiedenen Drohanrufen (vgl. A7, F 7.01) sei er zwei Tage später mit seiner Mutter nach Istanbul geflogen (A7, F 5.02; A12, F 103-104). Diese Version der Geschehnisse ist erstens inkompatibel mit seiner Behauptung, dass er anfangs Januar ein türkisches Visum beantragt haben will, um mit Freunden eine Urlaubsreise zu unternehmen (A12, F 114 ff.; zum Zweck dieses Visums und den Modalitäten der Ausfertigung hat er sich aber ohnehin verschiedentlich widersprochen [vgl. A12, F 101 ff.; und nun in der Beschwerde, S. 4]). Vor allem aber ist sie nicht zu vereinbaren mit dem Faktum, dass er gemäss dem Einreisestempel in seinem Pass erst am 9. März 2018 in die Türkei eingereist ist. Die Vorinstanz ist deshalb zu Recht davon ausgegangen, dass die Schilderungen des Beschwerdeführers im Lichte der eingereichten Beweismittel krasse zeitliche Ungereimtheiten aufweisen.Im Übrigen kann zur Vermeidung von Wiederholungen auf die zutreffenden und sorgfältig begründeten Erwägungen in der angefochtenen Verfügung verwiesen werden.</w:t>
      </w:r>
    </w:p>
    <w:p>
      <w:r>
        <w:rPr>
          <w:b/>
        </w:rPr>
        <w:t>E. 3.4</w:t>
      </w:r>
    </w:p>
    <w:p>
      <w:r>
        <w:t>Die Ausführungen in der Beschwerdeschrift vermögen an dieser Einschätzung nichts zu ändern. Vielmehr ergeben sich aus ihnen zusätzliche Widersprüche und Ungereimtheiten. Anlässlich der Anhörung gab der Beschwerdeführer wörtlich zu Protokoll: "Am Telefon sagte er [der Bruder]: "Versteckt [...] euch! Weil ich die Person getötet habe, die unseren Vater damals getötet hat." Er hat nur diese paar Worte gesagt und hat das Telefon aufgelegt." (vgl. A12, F 91). In der Beschwerde vervollständigt er dieses Telefonat nun dahingehend, der Bruder habe ihn informiert, dass sie sehr intensiv gesucht würden. Diese Ergänzung dient offensichtlich dem Zweck, den Ausreiseentscheid plausibel zu machen. Sie ist aber nachgeschoben und zudem nicht nachvollziehbar, zumal nicht ersichtlich ist, wie der Bruder zu dieser Information gelangt sein soll.Aus den zwei Tagen, die er und seine Mutter nach dem Vorfall noch im Irak verbracht haben wollen (vgl. A12, F 103-104), werden in der Beschwerde ausserdem plötzlich mehrere Tage, nach denen sie erst entschlossen hätten, die Heimat zu verlassen (Beschwerde S. 4).</w:t>
      </w:r>
    </w:p>
    <w:p>
      <w:r>
        <w:rPr>
          <w:b/>
        </w:rPr>
        <w:t>E. 3.5</w:t>
      </w:r>
    </w:p>
    <w:p>
      <w:r>
        <w:t>Auch die auf Beschwerdeebene eingereichten Beweismittel vermögen an der zutreffenden Einschätzung der Vorinstanz nichts zu ändern. Die Fotografien zeigen ein Haus mit Einschusslöchern und eingeschlagenen Fenstern. Es ist aber weder erstellt, dass es sich bei dem abgebildeten Haus um jenes der Familie des Beschwerdeführers handelt, noch überzeugt die Darstellung des Beschwerdeführers, wie es zu diesen Schäden gekommen sein soll. So ist es beispielsweise realitätsfremd zu behaupten, die Familienangehörigen von C._______ hätten ziellos auf das Haus geschossen, weil sie von der Vermutung ausgegangen seien, er und seine Mutter versteckten sich darin (Beschwerde S. 4); hätten die Familienangehörigen von C._______ tatsächlich beabsichtigt, ihn und seine Mutter zu töten, wären sie nämlich ohne Zweifel ins Haus gelangt und hätten sich nicht mit bloss oberflächlichen Einschüssen an einer Hausfassade begnügt.Nicht von Belang sind auch die eingereichten Audiodateien. An ihrer Authentizität ist schon deshalb zu zweifeln, weil der Beschwerdeführer nicht plausibel zu erklären vermag, warum er sein Mobiltelefon im Irak gelassen haben will (vgl. A12, F 134).</w:t>
      </w:r>
    </w:p>
    <w:p>
      <w:r>
        <w:rPr>
          <w:b/>
        </w:rPr>
        <w:t>E. 3.6</w:t>
      </w:r>
    </w:p>
    <w:p>
      <w:r>
        <w:t>Die Vorinstanz hat die Flüchtlingseigenschaft des Beschwerdeführers folglich zu Recht verneint und sein Asylgesuch abgewiesen.</w:t>
      </w:r>
    </w:p>
    <w:p>
      <w:r>
        <w:rPr>
          <w:b/>
        </w:rPr>
        <w:t>E. 4</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Im Urteil des Bundesverwaltungsgerichts E-3737/2015 vom 14. Dezember 2015 E. 7.4 (als Referenzurteil publiziert) wurde festgestellt, dass in den vier Provinzen der ARK (das betreffende Gebiet wird seit Anfang 2015 durch die Provinzen Dohuk, Erbil, Suleimaniya sowie der von Letzterer abgespalteten Provinz Halabja gebildet) nicht von einer Situation allgemeiner Gewalt im Sinne von Art. 83 Abs. 4 AuG auszugehen ist und keine konkreten Anhaltspunkte für die Annahme vorliegen, dies werde sich in absehbarer Zeit massgeblich verändern. An dieser Einschätzung vermögen die Unruhen im Zusammenhang mit dem Unabhängigkeitsreferendum vom 25. September 2017 nichts zu ändern, zumal sich diese in erster Linie auf das Gebiet rund um Kirkuk konzentrieren. Angesichts der Belastung der behördlichen Infrastrukturen durch intern vertriebene Personen ist allerdings jeweils der Prüfung des Vorliegens begünstigender individueller Faktoren - insbesondere denjenigen eines tragfähigen familiären Beziehungsnetzes (vgl. auch BVGE 2008/5 E. 7.5) - besonderes Gewicht beizumessen.</w:t>
      </w:r>
    </w:p>
    <w:p>
      <w:r>
        <w:rPr>
          <w:b/>
        </w:rPr>
        <w:t>E. 5.4.2</w:t>
      </w:r>
    </w:p>
    <w:p>
      <w:r>
        <w:t>Der Beschwerdeführer ist alleinstehend und - soweit aktenkundig - gesund. Vor seiner Ausreise lebte er in B._______ in der Nähe von E._______ (Provinz Suleimaniya) gemeinsam mit seinem Bruder und seiner Mutter (vgl. A7, F 2.01). Ferner leben neben seiner verheirateten Schwester viele weitere Verwandte in der Nähe (A7, F 3.01); ein Teil dieser Verwandten hat ihn und seine Mutter bei der Ausreise finanziell unterstützt (vgl. A7, F 2.01; A12, F 18-19). Es kann davon ausgegangen werden, dass dieses familiäre Bezugsnetz dem Beschwerdeführer nach der Rückkehr zur Verfügung stehen und ihn namentlich bei der Pflege seiner psychisch erkrankten Mutter unterstützen wird (wie dies im Übrigen schon vor der Ausreise der Fall war; vgl. A12, F 61-62). Der Beschwerdeführer hat in seiner Heimat als Schafhirte gearbeitet; auch wenn er seine Tiere vor der Ausreise verkauft hat (A7, F 1.17.05), ist davon auszugehen, dass er diese Tätigkeit - oder eine damit vergleichbare Aufgabe in der Landwirtschaft - wieder aufnehmen kann, zumal seine Familie weiterhin über Land verfügt (A7, F 1.17.05). Es ist somit davon auszugehen, dass er nach seiner Rückkehr für seinen Lebensunterhalt aufkommen kann.Somit sprechen auch keine individuellen Gründe gegen die Rückkehr in den Heimatstaat, zumal nicht davon auszugehen ist, dass der Beschwerdeführer in der ARK in eine existenzgefährdende Situation geraten wird.</w:t>
      </w:r>
    </w:p>
    <w:p>
      <w:r>
        <w:rPr>
          <w:b/>
        </w:rPr>
        <w:t>E. 5.4.3</w:t>
      </w:r>
    </w:p>
    <w:p>
      <w:r>
        <w:t>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Die gestellten Begehren erweisen sich als aussichtslos, weshalb das Gesuch um unentgeltliche Rechtspflege ungeachtet einer allfälligen prozessualen Bedürftigkeit abzuweisen ist (Art. 110a Abs. 1 Bst. a AsylG). Das Begehren um Verzicht auf die Erhebung eines Kostenvorschusses ist mit dem vorliegenden Urteil gegenstandslos geworden.</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