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E-2125/2014 vom 20. Januar 2015</w:t>
      </w:r>
    </w:p>
    <w:p>
      <w:r>
        <w:t>Bundesverwaltungsgericht, 2015-01-20, DE</w:t>
      </w:r>
    </w:p>
    <w:p>
      <w:r>
        <w:rPr>
          <w:b/>
        </w:rPr>
        <w:t xml:space="preserve">Quelle: </w:t>
      </w:r>
      <w:r>
        <w:t>https://mcp.opencaselaw.ch/entscheid/bvger_E-2125_2014</w:t>
      </w:r>
    </w:p>
    <w:p>
      <w:r>
        <w:t>FR: TAF E-2125/2014 du 20 janvier 2015</w:t>
      </w:r>
    </w:p>
    <w:p>
      <w:r>
        <w:t>IT: TAF E-2125/2014 del 20 gennaio 2015</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Rechtsmitteleingabe der Beschwerdeführerin ist zwar in englischer Sprache abgefasst. Auf die Ansetzung einer Frist zur Beschwerdeverbesserung konnte diesbezüglich indessen vorliegend praxisgemäss verzichtet werden, zumal der Eingabe genügend klare, sinngemässe Rechtsbegehren und deren Begründung zu entnehmen sind und ohne Weiteres darüber befunden werden kann. Die BFM-Verfügung vom 19. März 2014 ist von der Botschaft am 31. März 2014 eingeschrieben an die Beschwerdeführerin verschickt worden. Zwar ist kein Beleg, nach welchem ersichtlich wäre, wann die Verfügung der Beschwerdeführerin zugestellt wurde, in den Akten enthalten. Nachdem die Beschwerde aber gemäss Schreiben der Botschaft vom 11. April 2014 bereits am selben Datum bei ihr einging, kann ohne weiteres von ihrer Rechtzeitigkeit ausgegangen werden. Nach dem Gesagten ist die nachträglich verbesserte Beschwerde fristgerecht und in der Form akzeptiert eingereicht. Die Beschwerdeführerin ist durch die angefochtene Verfügung be­sonders berührt und hat ein schutzwürdiges Interesse an deren Aufhebung beziehungsweise Änderung. Sie ist daher zur Einreichung der Beschwerde legitimiert (Art. 105 und Art. 108 Abs. 1 AsylG sowie Art. 48 Abs. 1 und Art. 52 Abs. 1 VwVG). Auf die Beschwerde ist einzutreten.</w:t>
      </w:r>
    </w:p>
    <w:p>
      <w:r>
        <w:rPr>
          <w:b/>
        </w:rPr>
        <w:t>E. 1.3</w:t>
      </w:r>
    </w:p>
    <w:p>
      <w:r>
        <w:t>Gestützt auf Art. 33a Abs. 2 VwVG i.V.m. Art. 6 AsylG ergeht der vorliegende Entscheid in deutscher Sprache.</w:t>
      </w:r>
    </w:p>
    <w:p>
      <w:r>
        <w:rPr>
          <w:b/>
        </w:rPr>
        <w:t>E. 2</w:t>
      </w:r>
    </w:p>
    <w:p>
      <w:r>
        <w:t>Mit Beschwerde kann die Verletzung von Bundesrecht, einschliesslich Missbrauch und Überschreitung des Ermessens, und die unrichtige oder unvollständige Feststellung des Sachverhalts gerügt werden (Art. 106 Abs. 1 AsylG).</w:t>
      </w:r>
    </w:p>
    <w:p>
      <w:r>
        <w:rPr>
          <w:b/>
        </w:rPr>
        <w:t>E. 3</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 4.1 Gemäss aArt. 19 Abs. 1 AsylG kann ein Asylgesuch im Ausland bei einer schweizerischen Vertretung gestellt werden, welche es mit einem Bericht an das BFM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4.2 Für die Erteilung einer Einreisebewilligung gelten restriktive Voraussetzungen.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5.1</w:t>
      </w:r>
    </w:p>
    <w:p>
      <w:r>
        <w:t>Zur Begründung ihres ablehnenden Entscheides führt die Vorinstanz aus, dass sie angesichts der zahlreichen Gewaltereignisse der letzten Jahre und ihrem Aufenthalt im Gefängnis in D._______ zwar Verständnis dafür habe, dass sie um ihre Sicherheit fürchte und Angst vor weiteren staatlichen Verfolgungsmassnahmen habe. Ihre Furcht vor einer zukünftigen Verfolgung müsse jedoch bei einer objektiven Betrachtungsweise als nicht begründet im Sinne des Asylgesetzes eingestuft werden. Am (...) sei sie offiziell entlassen worden. Es bestünden keine Anhaltspunkte, dass sie aufgrund des Aufenthaltes in D._______ in absehbarer Zukunft erneut staatlichen Verfolgungsmassnahmen ausgesetzt sein könnte. Zwar sei nicht auszuschliessen, dass sie auch nach ihrer Freilassung weiterhin unter Beobachtung der sri-lankischen Behörden stehe und einer Meldepflicht der Armee unterstehe. Solche Massnahmen stünden aber im Zusammenhang mit der allgemeinen Bekämpfung des Terrorismus der LTTE und es komme ihnen aufgrund mangelnder Intensität kein Verfolgungscharakter im Sinne von Art. 3 AsylG zu.</w:t>
      </w:r>
    </w:p>
    <w:p>
      <w:r>
        <w:rPr>
          <w:b/>
        </w:rPr>
        <w:t>E. 5.2</w:t>
      </w:r>
    </w:p>
    <w:p>
      <w:r>
        <w:t>In ihrer Rechtsmitteleingabe macht die Beschwerdeführerin insbesondere geltend, dass sie von Freunden erfahren habe, dass das CID und andere Beamte immer noch über ihre Aktivitäten Nachforschungen anstellen würden. Sie werde die Beweismittel einreichen, sobald sie die Gelegenheit habe, an sie zu gelangen. Zurzeit lebe sie alleine in E._______ und es sei schwierig, an einer permanenten Adresse zu leben und sie könne aufgrund ihrer armseligen Situation auch keine Anstellung finden. Wegen ihrer schlechten Finanzlage leide sie an (...) und sei (...).</w:t>
      </w:r>
    </w:p>
    <w:p>
      <w:r>
        <w:rPr>
          <w:b/>
        </w:rPr>
        <w:t>E. 6</w:t>
      </w:r>
    </w:p>
    <w:p>
      <w:r>
        <w:t>Das Bundesverwaltungsgericht kommt nach Würdigung der Aktenlage zum Schluss, dass die vorinstanzlichen Erwägungen zu bestätigen sind. Was ihren Aufenthalt im Gefängnis in D._______ und ihre Entlassung (...) betrifft, ist auf die zutreffende Erwägung in der Verfügung der Vorinstanz zu verweisen, wonach keine Anhaltspunkte bestehen, dass sie aufgrund des Aufenthaltes in D._______ in absehbarer Zukunft erneut staatlichen Verfolgungsmassnahmen ausgesetzt sein könnte. Was die Besuche durch das CID zwecks Kontrollfragen betrifft, ist festzuhalten, dass den so umschriebenen Benachteiligungen ebenfalls schon mangels Intensität keine Erheblichkeit im Hinblick auf eine allfällige Schutzbedürftigkeit zukommt. Dazu liegen sie zeitlich zu weit zurück, als dass sie noch als aktuell bezeichnet werden könnten. Ebenso wenig weisen die Telefonanrufe von Unbekannten oder (...) - der darüber hinaus ebenfalls bereits (...) zurückliegt - die nötige Intensität auf, um asylrechtlich relevant zu sein, zumal die Beschwerdeführerin diese Vorfälle der Polizei gemeldet hat und ihr diese auch Schutz zugesagt hat. Obwohl die schwierige Situation der Beschwerdeführerin auch vom Bundesverwaltungsgericht nicht verkannt wird, spricht schliesslich der Umstand, dass sie sich von (...) jeweils für (...) in (...) aufgehalten und insbesondere danach wieder nach Sri Lanka zurückgekehrt ist, entscheidend gegen eine Schutzbedürftigkeit im vorliegend massgeblichen Sinn. Insgesamt vermögen, wie die Vorinstanz zutreffenderweise festgestellt hatte, die von der Beschwerdeführerin geltend gemachten Benachteiligungen eine Schutzbedürftigkeit im Sinne der massgeblichen Bestimmungen nicht zu begründen, selbst wenn aufgrund des von ihr Erlebten die subjektiv empfundene Furcht der Beschwerdeführerin nachvollziehbar ist. Daran vermögen auch die von Beschwerdeführerin geltend gemachten schwierigen Lebensumstände (insbesondere das Ringen um eine wirtschaftliche Existenzgrundlage sowie die gesundheitlichen Beschwerden) nichts zu ändern. Zusammenfassend ist festzuhalten, dass die Beschwerdeführerin zum jetzigen Zeitpunkt in Sri Lanka keiner Gefährdung im Sinne von Art. 3 AsylG ausgesetzt ist. Unter diesen Umständen hat die Vorinstanz ihr zu Recht die Erteilung der Einreisebewilligung verweigert und ihr Asylgesuch abgewiesen.</w:t>
      </w:r>
    </w:p>
    <w:p>
      <w:r>
        <w:rPr>
          <w:b/>
        </w:rPr>
        <w:t>E. 7</w:t>
      </w:r>
    </w:p>
    <w:p>
      <w:r>
        <w:t>Aus diesen Erwägungen ergibt sich, dass die angefochtene Verfügung Bundesrecht nicht verletzt und den rechtserheblichen Sachverhalt richtig sowie vollständig feststellt (Art. 106 Abs. 1 AsylG), weshalb die Beschwerde abzuweisen ist.</w:t>
      </w:r>
    </w:p>
    <w:p>
      <w:r>
        <w:rPr>
          <w:b/>
        </w:rPr>
        <w:t>E. 8</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kann indessen von einer Kostenauflage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