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E-2125/2013 vom 28. Januar 2014</w:t>
      </w:r>
    </w:p>
    <w:p>
      <w:r>
        <w:t>Bundesverwaltungsgericht, 2014-01-28, DE</w:t>
      </w:r>
    </w:p>
    <w:p>
      <w:r>
        <w:rPr>
          <w:b/>
        </w:rPr>
        <w:t xml:space="preserve">Quelle: </w:t>
      </w:r>
      <w:r>
        <w:t>https://mcp.opencaselaw.ch/entscheid/bvger_E-2125_2013</w:t>
      </w:r>
    </w:p>
    <w:p>
      <w:r>
        <w:t>FR: TAF E-2125/2013 du 28 janvier 2014</w:t>
      </w:r>
    </w:p>
    <w:p>
      <w:r>
        <w:t>IT: TAF E-2125/2013 del 28 gennaio 2014</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so auch vorliegend - endgültig (Art. 83 Bst. d Ziff. 1 des Bundesgerichtsgesetzes vom 17. Juni 2005 [BGG, SR 173.110]; Art. 105 AsylG). Der Beschwerdeführer ist als Verfügungsadressat zur Beschwerdeführung legitimiert (Art. 48 VwVG). Auf die fristgerecht eingereichte Beschwerde (Art. 108 Abs. 2 AsylG) ist -vorbehältlich der nachfolgenden Erwägungen - einzutreten.</w:t>
      </w:r>
    </w:p>
    <w:p>
      <w:r>
        <w:rPr>
          <w:b/>
        </w:rPr>
        <w:t>E. 2.1</w:t>
      </w:r>
    </w:p>
    <w:p>
      <w:r>
        <w:t>Das Bundesverwaltungsgericht überprüft die angefochtene Verfügung auf Verletzung von Bundesrecht, unrichtige und unvollständige Feststellung des rechtserheblichen Sachverhalts und Unangemessenheit (Art. 106 Abs. 1 AsylG).</w:t>
      </w:r>
    </w:p>
    <w:p>
      <w:r>
        <w:rPr>
          <w:b/>
        </w:rPr>
        <w:t>E. 2.2</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BVGE 2007/41 E. 2 S. 528 f.).</w:t>
      </w:r>
    </w:p>
    <w:p>
      <w:r>
        <w:rPr>
          <w:b/>
        </w:rPr>
        <w:t>E. 2.3</w:t>
      </w:r>
    </w:p>
    <w:p>
      <w:r>
        <w:t>Die Beschwerde ist im Verfahren einzelrichterlicher Zuständigkeit mit Zustimmung eines zweiten Richters beziehungsweise einer zweiten Richterin zu behandeln, weil sie sich im Ergebnis als offensichtlich begründet erweist (Art. 111 Bst. e AsylG).</w:t>
      </w:r>
    </w:p>
    <w:p>
      <w:r>
        <w:rPr>
          <w:b/>
        </w:rPr>
        <w:t>E. 3.1</w:t>
      </w:r>
    </w:p>
    <w:p>
      <w:r>
        <w:t>Gegenstand des vorliegenden Verfahrens ist ein Nichteintretensentscheid in Anwendung von Art. 32 Abs. 2 Bst. a AsylG. 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(vgl. BVGE 2011/9 E. 5 S. 116).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S. 73 m.H.a. Entscheidungen und Mitteilungen der [vormaligen] Schweizerischen Asylrekurskommission [EMARK] 2004 Nr. 34 E. 2.1. S. 240 f.). Folglich ist auf den Eventualantrag, es sei die Flüchtlingseigenschaft festzustellen, nicht einzutreten.</w:t>
      </w:r>
    </w:p>
    <w:p>
      <w:r>
        <w:rPr>
          <w:b/>
        </w:rPr>
        <w:t>E. 3.2</w:t>
      </w:r>
    </w:p>
    <w:p>
      <w:r>
        <w:t>Beim Nichteintretenstatbestand nach Art. 32 Abs. 2 Bst. a AsylG besteht indes die Besonderheit, dass das BFM - obwohl kein materielles Asylverfahren vorliegt - im Rahmen einer summarischen Prüfung sowohl das offenkundige Nichterfüllen der Flüchtlingseigenschaft im Sinne von Art. 3 AsylG als auch das offenkundige Fehlen von Wegweisungsvollzugshindernissen festzustellen hat, soweit dies im Rahmen einer summarischen Prüfung möglich ist (vgl. dazu BVGE 2007/8 E. 5.6.5 f.). Zum heutigen Zeitpunkt müssen - aus nachfolgend aufgezeigten Gründen - sowohl das offenkundige Nichterfüllen der Flüchtlingseigenschaft als auch das offenkundige Fehlen von Wegweisungsvollzugshindernissen verneint werden bzw. sind zusätzliche Abklärungen erforderlich. Deshalb bleibt die Anwendung von Art. 32 Abs. 2 Bst. a AsylG versagt.</w:t>
      </w:r>
    </w:p>
    <w:p>
      <w:r>
        <w:rPr>
          <w:b/>
        </w:rPr>
        <w:t>E. 3.3</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4. April 2013 zugrunde liegt, nicht vollständig festgestellt ist. Es besteht kein Zweifel, dass sich eine neue Lagebeurteilung vor Ort auf die Feststellung des rechtserheblichen Sachverhalts im vorliegenden Verfahren auswirken kann, sei es hinsichtlich der Frage nach dem angeblich offensichtlichen Nichterfüllen der Flüchtlingseigenschaft, sei es im Wegweisungsvollzugspunkt. Solche weiteren Abklärungen sind im Rahmen eines Nichteintretensentscheides im Sinne von Art. 32 Abs. 2 Bst. a AsylG aber von vornherein ausgeschlossen (vgl. Art. 32 Abs. 3 Bst. c AsylG).</w:t>
      </w:r>
    </w:p>
    <w:p>
      <w:r>
        <w:rPr>
          <w:b/>
        </w:rPr>
        <w:t>E. 3.4</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Bei vorliegenden Verfahrenskonstellation - Anfechtungsgegenstand ist ein Nichteintretensentscheid nach Art. 32 Abs. 2 Bst. a AsylG - fällt praxisgemäss aber ausser Betracht, dass die fehlende Entscheidungsreife durch das Gericht hergestellt wird. Der vorliegende Mangel einer unvollständigen Sachverhaltsfeststellung führt im Falle von Nichteintretensentscheiden in jedem Fall zur Kassation der angefochtenen Verfügung.</w:t>
      </w:r>
    </w:p>
    <w:p>
      <w:r>
        <w:rPr>
          <w:b/>
        </w:rPr>
        <w:t>E. 4</w:t>
      </w:r>
    </w:p>
    <w:p>
      <w:r>
        <w:t>Der Beschwerdeführer ist mit den Begehren durchgedrungen, die angefochtene Verfügung sei aufzuheben, die Vorinstanz sei anzuweisen, auf das Asylgesuch einzutreten, und die Sache sei zur Feststellung des vollständigen und richtigen rechtserheblichen Sachverhalts an das BFM zurückzuweisen. In Bezug auf die übrigen Rechtsbegehren ist, soweit darauf nicht bereits von vornherein nicht einzutreten ist, mit dem vorliegenden Entscheid das Rechtsschutzinteresse dahingefallen. Die Beschwerde ist nach dem Gesagten gutzuheissen, soweit darauf einzutreten ist. Die angefochtene Verfügung ist aufzuheben und die Sache zur vollständigen Sachverhaltsfeststellung sowie zu neuer Entscheidung an die Vorinstanz zurückzuweisen. Die vorinstanzlichen Akten und das Beschwerdedossier, welches ebenfalls Prozessstoff des vorinstanzlichen Verfahrens bilden wird, werden dem BFM zugestellt. Bei dieser Sachlage kann auf eine Auseinandersetzung mit den Beschwerdevorbringen im Einzelnen verzichtet werden, zumal dem Beschwerdeführer angesichts der Rückweisung der Sache an das BFM kein Nachteil erwächst.</w:t>
      </w:r>
    </w:p>
    <w:p>
      <w:r>
        <w:rPr>
          <w:b/>
        </w:rPr>
        <w:t>E. 5</w:t>
      </w:r>
    </w:p>
    <w:p>
      <w:r>
        <w:t>Bei diesem Ausgang des Verfahrens sind keine Kosten zu erheben (Art. 63 VwVG).</w:t>
      </w:r>
    </w:p>
    <w:p>
      <w:r>
        <w:rPr>
          <w:b/>
        </w:rPr>
        <w:t>E. 6</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verhältnismässig hohen Parteikosten zuzusprechen. Bei der Einschätzung des notwendigen und verhältnismässigen Parteiaufwands ist neben des grossen Umfangs der Beschwerde und der weiteren Parteieingaben namentlich zu berücksichtigen, dass zahlreiche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vor dem Bundesverwaltungsgericht in identischer Weise eingereicht worden. Zudem weist der Inhalt der Eingaben teilweise redundante Ausführungen auf. In Anwendung der gesetzlichen Bemessungsfaktoren erscheint eine Parteientschädigung von Fr. 2000.- angemessen.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