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E-2124/2023 vom 4. Mai 2023</w:t>
      </w:r>
    </w:p>
    <w:p>
      <w:r>
        <w:t>Bundesverwaltungsgericht, 2023-05-04, DE</w:t>
      </w:r>
    </w:p>
    <w:p>
      <w:r>
        <w:rPr>
          <w:b/>
        </w:rPr>
        <w:t xml:space="preserve">Quelle: </w:t>
      </w:r>
      <w:r>
        <w:t>https://mcp.opencaselaw.ch/entscheid/bvger_E-2124_2023</w:t>
      </w:r>
    </w:p>
    <w:p>
      <w:r>
        <w:t>FR: TAF E-2124/2023 du 4 mai 2023</w:t>
      </w:r>
    </w:p>
    <w:p>
      <w:r>
        <w:t>IT: TAF E-2124/2023 del 4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in Verbindung mit Art. 31 ff. VGG ist das Bun- desverwaltungsgericht zur Beurteilung von Beschwerden auf dem Gebiet des Asyls zuständig und entscheidet in der Regel – wie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ist zur Beschwerdeführung legitimiert (Art. 48 Abs. 1 VwVG). Auf die frist- und formgerecht eingereichte Beschwerde ist einzutreten (Art. 108 Abs. 3 AsylG; Art. 52 Abs. 1 VwVG).</w:t>
      </w:r>
    </w:p>
    <w:p>
      <w:r>
        <w:rPr>
          <w:b/>
        </w:rPr>
        <w:t>E. 2</w:t>
      </w:r>
    </w:p>
    <w:p>
      <w:r>
        <w:t>Über offensichtlich unbegründete Beschwerden wird in einzelrichterlicher Zuständigkeit mit Zustimmung eines zweiten Richters entschieden (Art. 111 Bst. e AsylG). Wie nachstehend aufgezeigt, handelt es sich vor- liegend um eine solche, weshalb der Beschwerdeentscheid nur summa- risch zu begründen ist (Art. 111a Abs. 2 AsylG). Gestützt auf Art. 111a Abs. 1 AsylG wurde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t>E-2124/2023 Seite 5</w:t>
      </w:r>
    </w:p>
    <w:p>
      <w:r>
        <w:rPr>
          <w:b/>
        </w:rPr>
        <w:t>E. 3.2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4.1</w:t>
      </w:r>
    </w:p>
    <w:p>
      <w:r>
        <w:t>Der Beschwerdeführer rügt in formeller Hinsicht, die Vorinstanz habe den Sachverhalt in zweierlei Hinsicht nicht vollständig abgeklärt. Einerseits betreffe dies den medizinischen Sachverhalt und andererseits die allge- meine sowie auch seine individuelle Situation bei der Überstellung nach Kroatien. Diese Rüge ist vorab zu prüfen, da sie geeignet ist, eine Kassa- tion der angefochtenen Verfügung herbeizuführen.</w:t>
      </w:r>
    </w:p>
    <w:p>
      <w:r>
        <w:rPr>
          <w:b/>
        </w:rPr>
        <w:t>E. 4.2</w:t>
      </w:r>
    </w:p>
    <w:p>
      <w:r>
        <w:t>Die Sachverhaltsfeststellung ist unvollständig, wenn nicht alle für den Entscheid wesentlichen Sachumstände berücksichtigt werden (vgl. KÖLZ/- HÄNER/BERTSCHI, Verwaltungsverfahren und Verwaltungsrechtspflege des Bundes, 3. Aufl. 2013, Rz. 1043).</w:t>
      </w:r>
    </w:p>
    <w:p>
      <w:r>
        <w:rPr>
          <w:b/>
        </w:rPr>
        <w:t>E. 4.3</w:t>
      </w:r>
    </w:p>
    <w:p>
      <w:r>
        <w:t>Aus den Akten ergeben sich keine Anhaltspunkte, dass die Vorinstanz ihre Pflicht zur vollständigen Abklärung des rechtserheblichen Sachver- halts nicht ausreichend wahrgenommen hätte. Bezüglich der gesundheitli- chen Situation ist festzuhalten, dass der Beschwerdeführer beim Dublin- Gespräch explizit darauf aufmerksam gemacht wurde, dass er einen An- spruch auf medizinische Behandlung habe und sich bei Bedarf bei Medic- Help melden könne. Den Akten kann indes nicht entnommen werden, der Beschwerdeführer sei jemals beim Gesundheitsdienst vorstellig geworden. Dies wurde der Vorinstanz auf telefonische Anfrage am 12. April 2023 vom Gesundheitsdienst des BAZ C._______ auch bestätigt. Für die Vorinstanz bestand daher kein Anlass zu weitergehenden medizinischen Abklärun- gen.</w:t>
      </w:r>
    </w:p>
    <w:p>
      <w:r>
        <w:rPr>
          <w:b/>
        </w:rPr>
        <w:t>E. 4.4</w:t>
      </w:r>
    </w:p>
    <w:p>
      <w:r>
        <w:t>Auch hat sich die Vorinstanz einlässlich mit allfälligen systemischen Mängeln im kroatischen Asyl- und Aufnahmesystem auseinandergesetzt und hat sich dabei auf umfangreiche Abklärungen durch die Schweizeri- sche Botschaft in Kroatien abgestützt. Gemäss diesen konnten keine Hin- weise auf systemische Schwachstellen im besagten System festgestellt werden und es sei auch nicht hervorgegangen, dass den Dublin-Rückkeh- renden eine Rückschiebung nach Bosnien und Herzegowina beziehungs- weise Serbien (Kettenabschiebungen) oder systematisch Gewalt seitens</w:t>
      </w:r>
    </w:p>
    <w:p>
      <w:r>
        <w:t>E-2124/2023 Seite 6 der kroatischen Polizeibehörden drohen würde. Soweit der Beschwerde- führer geltend macht, die Vorinstanz habe sich nicht damit auseinanderge- setzt, dass er in Kroatien physischer und psychischer Gewalt ausgesetzt gewesen sei, ihm die Nahrung verwehrt und er beleidigt worden sei, ist dem entgegenzuhalten, dass aus seinen Angaben anlässlich des Dublin- Gesprächs nicht hervorgeht, er habe Gewalt gegen seine Person erlebt oder sei Opfer von Push-backs geworden. Demnach bestand für die Vo- rinstanz keine Veranlassung zu weiteren Abklärungen. Ebenfalls hat sie sich zur vorgebrachten Inhaftierung geäussert und diesbezüglich zu Recht ausgeführt, dass diese im Zusammenhang mit der Weigerung zur Abgabe der Fingerabdrücke beziehungsweise der Unterschrift der Unterlagen ge- standen habe und es den kroatischen Behörden freistehe, zur Erfüllung der gesetzlichen Verpflichtungen zur Registration illegal eingereister Personen – unter Einhaltung der völkerrechtlichen Verpflichtungen – Zwang anzu- wenden.</w:t>
      </w:r>
    </w:p>
    <w:p>
      <w:r>
        <w:rPr>
          <w:b/>
        </w:rPr>
        <w:t>E. 4.5</w:t>
      </w:r>
    </w:p>
    <w:p>
      <w:r>
        <w:t>Aufgrund des Gesagten erweist sich die formelle Rüge als unbegrün- det. Es besteht keine Veranlassung, die Sache zur Sachverhaltsfeststel- lung an die Vorinstanz zurückzuweisen. Das diesbezügliche Rechtsbegeh- ren ist daher abzuweisen.</w:t>
      </w:r>
    </w:p>
    <w:p>
      <w:r>
        <w:rPr>
          <w:b/>
        </w:rPr>
        <w:t>E. 5.1</w:t>
      </w:r>
    </w:p>
    <w:p>
      <w:r>
        <w:t>Gemäss Art. 31a Abs. 1 Bst. b AsylG wird in der Regel auf Asylgesuche nicht eingetreten, wenn Asylsuchende in einen Drittstaat ausreisen kön- nen, der für die Durchführung des Asyl- und Wegweisungsverfahrens staatsvertraglich zuständig ist. Zur Bestimmung des staatsvertraglich zu- ständigen Staates prüft das SEM die Zuständigkeitskriterien gemäss Dub- lin-III-VO. Führt diese Prüfung zur Feststellung, dass ein anderer Mitglied- staat für die Prüfung des Asylgesuchs zuständig ist, tritt das SEM, nach- dem der betreffende Mitgliedstaat einer Überstellung oder Rücküberstel- 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rPr>
          <w:b/>
        </w:rPr>
        <w:t>E. 5.3</w:t>
      </w:r>
    </w:p>
    <w:p>
      <w:r>
        <w:t>Im Fall eines sogenannten Wiederaufnahmeverfahrens (engl.: take back), wie das vorliegende eines ist, findet grundsätzlich keine erneute</w:t>
      </w:r>
    </w:p>
    <w:p>
      <w:r>
        <w:t>E-2124/2023 Seite 7 Zuständigkeitsprüfung nach Kapitel III Dublin-III-VO statt (vgl. zum Ganzen BVGE 2017 VI/5 E. 6.2 und 8.2.1 m.w.H.).</w:t>
      </w:r>
    </w:p>
    <w:p>
      <w:r>
        <w:rPr>
          <w:b/>
        </w:rPr>
        <w:t>E. 5.4</w:t>
      </w:r>
    </w:p>
    <w:p>
      <w:r>
        <w:t>Die kroatischen Behörden haben ihre Zustimmung zur Wiederauf- nahme des Beschwerdeführers gegeben und damit ihre grundsätzliche Zu- ständigkeit anerkannt, woran nichts ändert, dass diese gestützt auf Art. 20 Abs. 5 Dublin-III-VO erfolgt ist (vgl. Urteil des BVGE F-1157/2023 vom</w:t>
      </w:r>
    </w:p>
    <w:p>
      <w:r>
        <w:rPr>
          <w:b/>
        </w:rPr>
        <w:t>E. 5.5</w:t>
      </w:r>
    </w:p>
    <w:p>
      <w:r>
        <w:t>Der Beschwerdeführer bestreitet die Zuständigkeit Kroatiens mit der Begründung, sein jüngerer Bruder sei in der Schweiz vorläufig aufgenom- men und sei aufgrund seines psychischen Zustandes auf seine Unterstüt- zung angewiesen. Sein Bruder sei noch sehr klein, rufe ihn ständig an und weine, weil er sich alleine fühle und sich in der Schweiz sehr schwer zu- rechtfinde. Er sei nicht in der Lage, sich alleine an den Gesundheitsdienst zu wenden. Sie seien seit jeher eng verbunden und auf der Flucht getrennt worden. Gestützt auf Art. 16 Abs. 1 Dublin-III-VO sei die Schweiz für die Prüfung seines Asylgesuchs zuständig.</w:t>
      </w:r>
    </w:p>
    <w:p>
      <w:r>
        <w:rPr>
          <w:b/>
        </w:rPr>
        <w:t>E. 5.5.1</w:t>
      </w:r>
    </w:p>
    <w:p>
      <w:r>
        <w:t>Art. 16 Abs. 1 Dublin-III-VO bestimmt unter anderem, dass eine Per- son, die sich rechtmässig in einem Mitgliedstaat aufhält und die aus be- stimmten Gründen (Schwangerschaft, neugeborenes Kind, schwere Krankheit, ernsthafte Behinderung oder hohes Alter) auf die Unterstützung eines antragstellenden Geschwisters angewiesen ist, in der Regel von die- sem Geschwister nicht getrennt beziehungsweise mit ihm zusammenge- führt wird, sofern die familiäre Bindung bereits im Herkunftsland bestanden hat, das Geschwister in der Lage ist, die abhängige Person zu unterstützen und die Betroffenen ihren Wunsch schriftlich kundgetan haben.</w:t>
      </w:r>
    </w:p>
    <w:p>
      <w:r>
        <w:rPr>
          <w:b/>
        </w:rPr>
        <w:t>E. 5.5.2</w:t>
      </w:r>
    </w:p>
    <w:p>
      <w:r>
        <w:t>Vorliegend ist zunächst zu festzuhalten, dass es sich beim Bruder des Beschwerdeführers nicht um einen minderjährigen, «kleinen Bruder» handelt, sondern um einen (…)-jährigen erwachsenen Mann, der in der Schweiz vorläufig aufgenommen ist. Dessen geltend gemachter psychi- scher Zustand stellt sodann keine schwere Krankheit im Sinne von Art. 16 Abs. 1 Dublin-III-VO dar, zumal die Erkrankung lediglich unsubstantiiert be- hauptet und mit keinerlei medizinischen Unterlagen untermauert wird. Aus- serdem wohnt er gemäss der eingereichten Visitenkarte im D._______, wo Flüchtlinge mit Bleiberecht intensiv beschult und auf das Leben in der Ge- meinde vorbereitet werden (vgl. &lt;[…]&gt;, zuletzt besucht am 1. Mai 2023). Es ist davon auszugehen, dass er dort die nötige Unterstützung erhält, na- mentlich auch was den Zugang zur psychologischen Unterstützung betrifft.</w:t>
      </w:r>
    </w:p>
    <w:p>
      <w:r>
        <w:t>E-2124/2023 Seite 8 Ein Abhängigkeitsverhältnis liegt demnach nicht vor. Unter diesen Umstän- den kann sich der Beschwerdeführer nicht auf Art. 16 Dublin-III-VO beru- fen. 6. 6.1 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 6.2 Kroatien ist Signatarstaat der EMRK, des Übereinkommens vom</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6.3</w:t>
      </w:r>
    </w:p>
    <w:p>
      <w:r>
        <w:t>Im Referenzurteil E-1488/2020 vom 22. März 2023 hat sich das Bundesverwaltungsgericht einlässlich mit der Situation von Dublin-Rückkehrern in Kroatien befasst. Dabei hat es festgehalten, dass im heutigen Zeitpunkt keine Hinweise für die Annahme vorliegen, dass Asylverfahren und die Aufnahmebedingungen von Antragstellenden in Kroatien systemische Schwachstellen im Sinne von Art. 3 Abs. 2 zweiter und dritter Satz Dublin-III-VO aufweisen, die eine Überstellung generell als unzulässig erscheinen lassen. Dies gilt sowohl für das Aufnahmeverfahren (take charge) als auch für das Wiederaufnahmeverfahren (take back, vgl. a.a.O. E. 9.5). Selbst unter Berücksichtigung der vom Beschwerdeführer geschilderten Erlebnisse mit den kroatischen Behörden ist nicht davon auszugehen, Kroatien verstosse zum heutigen Zeitpunkt systematisch gegen seine vertraglichen Verpflichtungen als zuständiger Dublin-Mitgliedstaat im Falle einer Rücküberstellung von Asylsuchenden.</w:t>
      </w:r>
    </w:p>
    <w:p>
      <w:r>
        <w:rPr>
          <w:b/>
        </w:rPr>
        <w:t>E. 6.4</w:t>
      </w:r>
    </w:p>
    <w:p>
      <w:r>
        <w:t>Nach dem Gesagten ist die Anwendung von Art. 3 Abs. 2 Dublin-III-VO nicht gerechtfertigt.</w:t>
      </w:r>
    </w:p>
    <w:p>
      <w:r>
        <w:rPr>
          <w:b/>
        </w:rPr>
        <w:t>E. 7</w:t>
      </w:r>
    </w:p>
    <w:p>
      <w:r>
        <w:t>März 2023).</w:t>
      </w:r>
    </w:p>
    <w:p>
      <w:r>
        <w:rPr>
          <w:b/>
        </w:rPr>
        <w:t>E. 7.1</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7.2</w:t>
      </w:r>
    </w:p>
    <w:p>
      <w:r>
        <w:t>Der Beschwerdeführer macht geltend, er sei von den kroatischen Be- hörden nicht gut behandelt und untergebracht worden. Namentlich habe er während der Inhaftierung keinerlei Nahrung erhalten. Ferner sei er psy- chisch sehr angeschlagen und bei einer Rücküberstellung nach Kroatien sei eine adäquate Behandlung nicht gewährleistet.</w:t>
      </w:r>
    </w:p>
    <w:p>
      <w:r>
        <w:rPr>
          <w:b/>
        </w:rPr>
        <w:t>E. 7.2.1</w:t>
      </w:r>
    </w:p>
    <w:p>
      <w:r>
        <w:t>Der Beschwerdeführer vermag nicht darzutun, dass die ihn bei einer Rückführung nach Kroatien zu erwartenden Bedingungen derart schlecht sind, dass sie zu einer Verletzung von Art. 3 EMRK führen könnten. Das Bundesverwaltungsgericht geht davon aus, dass er sich nach der Dublin- Rücküberstellung in einer anderen Situation als bei der ersten Einreise nach Kroatien befinden wird (vgl. Urteil des BVGer E-1488/2020 vom 22. März 2023 E. 9.4 m.w.H.). Kroatien ist ein Rechtsstaat mit einem funk- tionierenden Justizsystem. Den Akten sind denn auch keine Gründe für die Annahme zu entnehmen, Kroatien werde in seinem Fall den Grundsatz des Non-Refoulement missachten und ihn zur Ausreise in ein Land zwingen, in dem sein Leib, Leben oder seine Freiheit aus einem Grund nach Art. 3</w:t>
      </w:r>
    </w:p>
    <w:p>
      <w:r>
        <w:t>E-2124/2023 Seite 10 Abs. 1 AsylG gefährdet ist oder in dem er Gefahr laufen würde, zur Aus- reise in ein solches Land gezwungen zu werden.</w:t>
      </w:r>
    </w:p>
    <w:p>
      <w:r>
        <w:rPr>
          <w:b/>
        </w:rPr>
        <w:t>E. 7.2.2</w:t>
      </w:r>
    </w:p>
    <w:p>
      <w:r>
        <w:t>Bezüglich der gesundheitlichen Aspekte ist festzuhalten, dass eine zwangsweise Rückweisung von Personen mit gesundheitlichen Problemen nur ausnahmsweise einen Verstoss gegen Art. 3 EMRK darstellt. Dies ist insbesondere dann der Fall, wenn Schwerkranke, die durch die Rückfüh- rung – mangels angemessener medizinischer Behandlung im Zielstaat – mit einem realen Risiko konfrontiert würden, einer ernsten, raschen und unwiederbringlichen Verschlechterung ihres Gesundheitszustands ausge- setzt zu werden, die zu intensivem Leiden oder einer erheblichen Verkür- zung der Lebenserwartung führen würde (vgl. Urteil des Europäischen Ge- richtshofs für Menschenrechte [EGMR] Paposhvili gegen Belgien 13. De- zember 2016, Grosse Kammer 41738/10, §§ 180–193 m.w.H.). Eine sol- che Situation ist vorliegend offenkundig nicht gegeben.</w:t>
      </w:r>
    </w:p>
    <w:p>
      <w:r>
        <w:rPr>
          <w:b/>
        </w:rPr>
        <w:t>E. 7.2.3</w:t>
      </w:r>
    </w:p>
    <w:p>
      <w:r>
        <w:t>Die Vorinstanz hält sodann zutreffend fest, dass Kroatien über eine ausreichende medizinische Infrastruktur verfügt. Die Mitgliedstaaten sind verpflichtet, den Antragstellenden die erforderliche medizinische Versor- gung, die zumindest die Notversorgung und die unbedingt erforderliche Be- handlung von Krankheiten und schweren psychischen Störungen umfasst, zugänglich zu machen (Art. 19 Abs. 1 Aufnahmerichtlinie); Antragstellen- den mit besonderen Bedürfnissen ist die erforderliche medizinische oder sonstige Hilfe (einschliesslich nötigenfalls einer geeigneten psychologi- schen Betreuung) zu gewähren (Art. 19 Abs. 2 Aufnahmerichtlinie). So- dann bestehen in Kroatien – sollte sich dort eine medizinische Behandlung als indiziert erweisen und der Beschwerdeführer nunmehr eine solche in Anspruch nehmen wollen – nebst den staatlichen Einrichtungen auch An- gebote von Nichtregierungsorganisationen für die psychische Betreuung, womit von einem genügenden psychologischen Behandlungsangebot aus- zugehen ist (vgl. Urteile des BVGer F-4368/2020 vom 14. Januar 2021 E. 7.3; E-794/2022 vom 5. Mai 2022 E. 7.2).</w:t>
      </w:r>
    </w:p>
    <w:p>
      <w:r>
        <w:rPr>
          <w:b/>
        </w:rPr>
        <w:t>E. 7.3</w:t>
      </w:r>
    </w:p>
    <w:p>
      <w:r>
        <w:t>Nach dem Gesagten besteht kein Grund für eine Anwendung der Er- messensklausel von Art. 17 Dublin-III-VO sowie auch keine Veranlassung für die subeventualiter beantragte Einholung einer individuellen Zusiche- rung bezüglich adäquater Unterbringung, Ernährung und medizinischer und psychologischer Behandlung. Der entsprechende Eventualantrag ist abzuweisen.</w:t>
      </w:r>
    </w:p>
    <w:p>
      <w:r>
        <w:t>E-2124/2023 Seite 11 8. Aus den vorstehenden Erwägungen ergibt sich, dass die angefochtene Verfügung Bundesrecht nicht verletzt und den rechtserheblichen Sachver- halt richtig sowie vollständig feststellt (Art. 106 Abs. 1 AsylG). Die Be- schwerde ist abzuweisen. 9. Das Gesuch um Gewährung der unentgeltlichen Prozessführung ist abzu- weisen, da sich die Rechtsbegehren zum Gesuchszeitpunkt – wie sich aus den vorstehenden Erwägungen ergibt – als aussichtslos darstellten (Art. 65 Abs. 1 VwVG). Bei diesem Ausgang des Verfahrens sind die Verfahrens- kosten dem Beschwerdeführer aufzuerlegen (Art. 63 Abs. 1 VwVG) und auf Fr. 750.– festzusetzen (Art. 1‒3 des Reglements vom 21. Februar 2008 über die Kosten und Entschädigungen vor dem Bundesverwaltungsgericht [VGKE, SR 173.320.2]).</w:t>
      </w:r>
    </w:p>
    <w:p>
      <w:r>
        <w:rPr>
          <w:b/>
        </w:rPr>
        <w:t>E. 8</w:t>
      </w:r>
    </w:p>
    <w:p>
      <w:r>
        <w:t>Aus den vorstehenden Erwägungen ergibt sich, dass die angefochtene Verfügung Bundesrecht nicht verletzt und den rechtserheblichen Sachverhalt richtig sowie vollständig feststellt (Art. 106 Abs. 1 AsylG). Die Beschwerde ist abzuweisen.</w:t>
      </w:r>
    </w:p>
    <w:p>
      <w:r>
        <w:rPr>
          <w:b/>
        </w:rPr>
        <w:t>E. 9</w:t>
      </w:r>
    </w:p>
    <w:p>
      <w:r>
        <w:t>Das Gesuch um Gewährung der unentgeltlichen Prozessführung ist abzuweisen, da sich die Rechtsbegehren zum Gesuchszeitpunkt - wie sich aus den vorstehenden Erwägungen ergibt - als aussichtslos darstellten (Art. 65 Abs. 1 VwVG). Bei diesem Ausgang des Verfahrens sind die Verfahrenskosten dem Beschwerdeführer aufzuerlegen (Art. 63 Abs. 1 VwVG) und auf Fr. 750.- festzusetzen (Art. 1 3 des Reglements vom 21. Februar 2008 über die Kosten und Entschädigungen vor dem Bundesverwaltungsgericht [VGKE, SR 173.320.2]).</w:t>
      </w:r>
    </w:p>
    <w:p>
      <w:r>
        <w:rPr>
          <w:b/>
        </w:rPr>
        <w:t>E. 10</w:t>
      </w:r>
    </w:p>
    <w:p>
      <w:r>
        <w:t>Die Anträge auf Erteilung der aufschiebenden Wirkung und auf Befreiung von der Kostenvorschusspflicht erweisen sich mit dem vorliegenden Ent- scheid als gegenstandslos. Der mit superprovisorischer Massnahme vom 30. März 2023 angeordnete Vollzugsstopp fällt dahin.</w:t>
      </w:r>
    </w:p>
    <w:p>
      <w:r>
        <w:t>(Dispositiv nächste Seite)</w:t>
      </w:r>
    </w:p>
    <w:p>
      <w:r>
        <w:t>E-2124/2023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