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E-2123/2015 vom 27. April 2015</w:t>
      </w:r>
    </w:p>
    <w:p>
      <w:r>
        <w:t>Bundesverwaltungsgericht, 2015-04-27, DE</w:t>
      </w:r>
    </w:p>
    <w:p>
      <w:r>
        <w:rPr>
          <w:b/>
        </w:rPr>
        <w:t xml:space="preserve">Quelle: </w:t>
      </w:r>
      <w:r>
        <w:t>https://mcp.opencaselaw.ch/entscheid/bvger_E-2123_2015</w:t>
      </w:r>
    </w:p>
    <w:p>
      <w:r>
        <w:t>FR: TAF E-2123/2015 du 27 avril 2015</w:t>
      </w:r>
    </w:p>
    <w:p>
      <w:r>
        <w:t>IT: TAF E-2123/2015 del 27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4.2</w:t>
      </w:r>
    </w:p>
    <w:p>
      <w:r>
        <w:t>Die Behandlung des vorliegenden Visagesuchs für die Schweiz fällt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der Unterzeichnung des Schengen-Assoziierungsab- 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4.3</w:t>
      </w:r>
    </w:p>
    <w:p>
      <w:r>
        <w:t>Ein Drittstaatangehöriger hat, sofern er über keinen gültigen Aufenthaltstitel verfügt, zur Einreise in den Schengenraum ein gültiges Visum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 Bei der Prüfung eines Antrags auf ein sogenannt "einheitliches Visum" ist nach Art. 21 Abs. 1 Visakodex unter anderem festzuhalten, ob der Antragssteller die Einreisevoraussetzungen nach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Bst. d Visakodex; Art. 5 Abs. 2 AuG).</w:t>
      </w:r>
    </w:p>
    <w:p>
      <w:r>
        <w:rPr>
          <w:b/>
        </w:rPr>
        <w:t>E. 4.4</w:t>
      </w:r>
    </w:p>
    <w:p>
      <w:r>
        <w:t>Sind die Voraussetzungen für die Ausstellung eines einheitlichen Visums nicht erfüllt, kann in Ausnahmefällen ein Visum mit beschränkter Gültigkeit erteilt werden. Ein Mitgliedstaat ist gemäss Art. 5 Abs. 4 Bst. c Satz 1 SGK berechtigt, von dieser Möglichkeit unter anderem aus humanitären Gründen Gebrauch zu machen (vgl. Art. 25 Abs. 1 Bst. a Visakodex; Art. 3 Abs. 2 AuG; Art. 2 Abs. 4 VEV).</w:t>
      </w:r>
    </w:p>
    <w:p>
      <w:r>
        <w:rPr>
          <w:b/>
        </w:rPr>
        <w:t>E. 5</w:t>
      </w:r>
    </w:p>
    <w:p>
      <w:r>
        <w:t>Der Gesuchsteller mit syrischer Staatsangehörigkeit ist zur Einreise in den Schengenraum visumspflichtig (Art. 5 Abs. 1 Bst. b SGK i.V.m. Art. 1 Abs. 1 und 2 und Anhänge I und II Verordnung (EG) Nr. 539/2001). Aufgrund der gesamten Umstände kann - entsprechend den Ausführungen des SEM (vgl. Bst. E. vorstehend) - nicht geschlossen werden, dass der Gesuchsteller Gewähr für eine fristgerechte Rückkehr und Ausreise aus der Schweiz und dem Schengenraum bietet. Eine allfällige schriftliche Bestätigung des Gesuchstellers, des Gastgebers oder von Drittpersonen würde denn auch in der Regel nicht genügen, um Gegenteiliges garantieren zu können. Die Erteilung eines Visums mit Gültigkeit für den gesamten Schengenraum fällt daher nicht in Betracht.</w:t>
      </w:r>
    </w:p>
    <w:p>
      <w:r>
        <w:rPr>
          <w:b/>
        </w:rPr>
        <w:t>E. 6.1</w:t>
      </w:r>
    </w:p>
    <w:p>
      <w:r>
        <w:t>Im Folgenden gilt es zu prüfen, ob das SEM zu Recht die Erteilung eines Einreisevisums in die Schweiz aus humanitären Gründen abgelehnt hat. Gemäss Art. 2 Abs. 4 VEV können das eidgenössische Departement für auswärtige Angelegenheiten (EDA) und das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 Die Möglichkeit einer Visumserteilung aus humanitären Gründen hat für die Schweiz an Bedeutung gewonnen, da mit der dringlichen Änderung des Asylgesetzes vom 28. September 2012 (AS 2012 5359) die Bestimmungen betreffend die Stellung von Asylgesuchen aus dem Ausland aufgehoben wurden. Da im Einzelfall jedoch nicht ausgeschlossen werden kann, dass Personen, die Schutz vor asylrechtlicher Verfolgung geltend machen, bei den schweizerischen Vertretungen vorsprechen und um Einreise in die Schweiz ersuchen, wurde in Art. 2 Abs. 4 und Art. 12 Abs. 4 VEV die Möglichkeit verankert, aus humanitären Gründen und mit Zustimmung des SEM ein Einreisevisum zu erteilen. Zwecks Konkretisierung dieser Bestimmungen wurde am 28. September 2012 vom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w:t>
      </w:r>
    </w:p>
    <w:p>
      <w:r>
        <w:rPr>
          <w:b/>
        </w:rPr>
        <w:t>E. 6.2</w:t>
      </w:r>
    </w:p>
    <w:p>
      <w:r>
        <w:t>Gemäss der Weisung des BFM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restriktiver als bei den Auslandgesuchen,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7.1</w:t>
      </w:r>
    </w:p>
    <w:p>
      <w:r>
        <w:t>Das Gericht gelangt nach Prüfung der Akten - wie bereits das SEM - zum Schluss, dass vorliegend die Voraussetzungen für die Erteilung eines humanitären Visums nicht erfüllt sind. Es kann auf die entsprechenden Ausführungen in der angefochtenen Verfügung verwiesen werden, die sich als zutreffend erweisen (vgl. Bst. E. vorstehend). Daran vermögen auch die auf Beschwerdeebene eingebrachten Vorbringen nichts zu ändern. Der Beschwerdeführer wendet in der Rechtsmitteleingabe zwar ein, das SEM habe sich in der angefochtenen Verfügung nicht zur Rückkehr des Gesuchstellers nach Syrien und zu seiner Krankheit geäussert. Im Weiteren behaupte das SEM in allgemeiner Weise, der Gesuchsteller sei nicht an Leib und Leben gefährdet, ohne die Argumente in der Einsprache kommentiert zu haben. Dem ist entgegenzuhalten, dass in der angefochtenen Verfügung ausgeführt wurde, Abklärungen bei der Vertretung in Istanbul hätten ergeben, dass der Gesuchsteller entgegen der im Antrag gemachten Angaben bereits seit zwei Jahren mit seiner Familie in einer Mietwohnung in der Türkei lebe und auch ärztlich versorgt werde. Dieser Feststellung wird in der Beschwerde nichts Konkretes entgegnet. Auch wird das Vorbringen des Beschwerdeführers, der Gesuchsteller sei in der Zwischenzeit nach Syrien zurückgekehrt, jedenfalls durch nichts belegt. Vor diesem Hintergrund kann angenommen werden, dass sich der Gesuchsteller nach wie vor in der Türkei aufhält oder es ihm zuzumuten wäre, den Schutz der Türkei wiederum in Anspruch nehmen zu können, wie er ihm bereits gewährt worden ist. Vom Beschwerdeführer wird dem wesentlichen Sinngehalt nach weiter geltend gemacht, die in der Türkei für syrische Flüchtlinge herrschenden Verhältnisse seien unhaltbar, weshalb dem Gesuchsteller ein Einreisevisum zu erteilen sei. Zudem beruft er sich auf die Erkrankungslage des Gesuchstellers. In seinen Ausführungen verweist er auf eine angebliche Überforderung der Türkei durch die vielen syrischen Bürgerkriegsflüchtlinge, auf eine angeblich völlig mangelhafte Sicherheitslage sowie auf das angeblich völlige Fehlen einer sozialen Absicherung ausserhalb der Flüchtlingslager. Damit wird jedoch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Bürgerkriegsflüchtlinge in der Türkei ist gemäss jüngeren Berichten auf mittlerweile rund 1,5 Millionen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Als massgeblich erweist sich, dass in vorliegender Sache - im Sinne der vorinstanzlichen Erwägungen - keine stichhaltigen Gründe ersichtlich sind, welche darauf hindeuten würden, der Gesuchsteller sei in der Türkei unmittelbar, ernsthaft und konkret an Leib und Leben gefährdet, respektive er befinde sich in einer besonderen Notlage, welche ein behördliches Eingreifen zwingend erforderlich erscheinen liesse. Daran ändern die Vorbringen der Erkrankungslage des Gesuchstellers nichts, zumal es ihm offensteht, sich auch in eines der offiziellen türkischen Flüchtlingslager zu begeben, wo er nach Auffassung des Gerichts hinreichend sicher ist und wo ihm auch eine genügende medizinische Versorgung zur Verfügung steht. Aufgrund der Aktenlage ist demnach davon auszugehen, dass der Gesuchsteller in der Türkei eine adäquate medizinische Behandlung und Betreuung in Anspruch nehmen konnte und dies auch weiterhin gewährleistet wäre. Ferner ist darauf hinzuweisen, dass sich Betroffene auch an das UNHCR (United Nations High Commissioner for Refugees), den türkischen Roten Halbmond oder andere vor Ort tätige Hilfsorganisationen wenden können, um medizinische Hilfe oder anderweitige notwendige Versorgung zu erlangen. Abschliessend ist anzumerken, dass auch keine Anzeichen dafür vorliegen, dass der Gesuchsteller bei einem Aufenthalt in der Türkei eine Ausschaffung nach Syrien zu befürchten hätte.</w:t>
      </w:r>
    </w:p>
    <w:p>
      <w:r>
        <w:rPr>
          <w:b/>
        </w:rPr>
        <w:t>E. 7.2</w:t>
      </w:r>
    </w:p>
    <w:p>
      <w:r>
        <w:t>Bei dieser Sachlage erübrigt es sich, auf weitere Beschwerdevorbringen einzugehen, da sie zu keiner anderen Einschätzung führen.</w:t>
      </w:r>
    </w:p>
    <w:p>
      <w:r>
        <w:rPr>
          <w:b/>
        </w:rPr>
        <w:t>E. 7.3</w:t>
      </w:r>
    </w:p>
    <w:p>
      <w:r>
        <w:t>Das Bundesverwaltungsgericht gelangt zum Schluss, dass das SEM zu Recht und mit zutreffender Begründung das Vorliegen der Voraussetzungen zur Erteilung von Einreisevisa verneint und die Einsprache vom 21. Januar 2015 abgewiesen hat.</w:t>
      </w:r>
    </w:p>
    <w:p>
      <w:r>
        <w:rPr>
          <w:b/>
        </w:rPr>
        <w:t>E. 8</w:t>
      </w:r>
    </w:p>
    <w:p>
      <w:r>
        <w:t>Aus vorstehenden Erwägungen folgt, dass die angefochtene Verfügung im Lichte von Art. 49 VwVG nicht zu beanstanden ist. Die Beschwerde ist abzuweisen.</w:t>
      </w:r>
    </w:p>
    <w:p>
      <w:r>
        <w:rPr>
          <w:b/>
        </w:rPr>
        <w:t>E. 9</w:t>
      </w:r>
    </w:p>
    <w:p>
      <w:r>
        <w:t>Bei diesem Ausgang des Verfahrens sind die Kosten im Betrage von Fr. 700.- dem Beschwerdeführer aufzuerlegen (Art. 63 Abs. 1 und 5 VwVG, Art. 1-3 des Reglements vom 21. Februar 2008 über die Kosten und Entschädigungen vor dem Bundesverwaltungsgericht [VGKE, SR 173.320.2]) und das Gesuch um unentgeltliche Rechtspflege im Sinne von Art. 65 Abs. 1 VwVG ist abzuweisen, da die Rechtsbegehren, wie ausgeführt, als aussichtlos erschienen.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