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E-2112/2023 vom 23. Januar 2025</w:t>
      </w:r>
    </w:p>
    <w:p>
      <w:r>
        <w:t>Bundesverwaltungsgericht, 2025-01-23, FR</w:t>
      </w:r>
    </w:p>
    <w:p>
      <w:r>
        <w:rPr>
          <w:b/>
        </w:rPr>
        <w:t xml:space="preserve">Quelle: </w:t>
      </w:r>
      <w:r>
        <w:t>https://mcp.opencaselaw.ch/entscheid/bvger_E-2112_2023</w:t>
      </w:r>
    </w:p>
    <w:p>
      <w:r>
        <w:t>FR: TAF E-2112/2023 du 23 janvier 2025</w:t>
      </w:r>
    </w:p>
    <w:p>
      <w:r>
        <w:t>IT: TAF E-2112/2023 del 23 gennaio 2025</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3.5</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4.1</w:t>
      </w:r>
    </w:p>
    <w:p>
      <w:r>
        <w:t>En l'occurrence, comme exposé, les investigations entreprises par le SEM ont révélé, après consultation de l'unité centrale du système européen Eurodac, que l'intéressé a franchi illégalement la frontière du territoire des Etats Dublin en Croatie et que ses empreintes digitales y ont été enregistrées le 20 septembre 2022. Les déclarations de l'intéressé selon lesquelles ses empreintes digitales auraient été relevées de force ne sont pas déterminantes. Quoi qu'il en soit, en effet, il ne peut être, sur le principe, reproché aux autorités croates d'avoir enregistré le recourant à son passage dans le pays. En procédant à ces relevés au moment de l'interpellation de l'intéressé et à leur transmission au système central Eurodac, les autorités croates se sont conformées à leur obligation découlant de l'art. 9 par. 1 et de l'art. 14 par. 1 du règlement Eurodac. Pour le reste, il n'est pas établi que le recourant, aux fins du relevé de ses empreintes digitales, aurait subi de la part de la police croate des moyens de contrainte contraires à l'art. 3 CEDH ou aux art. 3 et 6 de la Convention du 10 décembre 1984 contre la torture et autres peines ou traitements cruels, inhumains ou dégradants (CCT, RS 0.105 ; cf. consid. 6.4 ci-dessous).</w:t>
      </w:r>
    </w:p>
    <w:p>
      <w:r>
        <w:rPr>
          <w:b/>
        </w:rPr>
        <w:t>E. 4.2</w:t>
      </w:r>
    </w:p>
    <w:p>
      <w:r>
        <w:t>Le 9 novembre 2022, l'autorité intimée a dès lors soumis aux autorités croates compétentes, dans les délais fixés à l'art. 21 par. 1 RD III, une requête aux fins de prise en charge, fondée sur l'art. 13 par. 1 de ce même règlement.</w:t>
      </w:r>
    </w:p>
    <w:p>
      <w:r>
        <w:rPr>
          <w:b/>
        </w:rPr>
        <w:t>E. 4.3</w:t>
      </w:r>
    </w:p>
    <w:p>
      <w:r>
        <w:t>Par communication du 9 janvier 2023, soit dans le délai fixé par l'art. 22 par. 1 RD III, lesdites autorités ont expressément accepté de prendre en charge l'intéressé, sur la base de l'art. 13 par. 1 RD III.</w:t>
      </w:r>
    </w:p>
    <w:p>
      <w:r>
        <w:rPr>
          <w:b/>
        </w:rPr>
        <w:t>E. 4.4</w:t>
      </w:r>
    </w:p>
    <w:p>
      <w:r>
        <w:t>La compétence de la Croatie pour le traitement de la demande d'asile du recourant est donc donnée, au regard des critères de détermination de l'Etat membre responsable (art. 7 ss RD III). Ce point n'est d'ailleurs pas contesté.</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w:t>
      </w:r>
    </w:p>
    <w:p>
      <w:r>
        <w:rPr>
          <w:b/>
        </w:rPr>
        <w:t>E. 5.3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et quoi qu'en dise l'intéressé, d'être exposées à un risque de violation de leurs droits découlant du principe de non-refoulement. En l'espèce, l'ordre de quitter le territoire croate qu'aurait reçu l'intéressé pourrait s'expliquer par le fait qu'il n'a pas déposé de demande d'asile dans ce pays. Le Tribunal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d'espèce.</w:t>
      </w:r>
    </w:p>
    <w:p>
      <w:r>
        <w:rPr>
          <w:b/>
        </w:rPr>
        <w:t>E. 5.4</w:t>
      </w:r>
    </w:p>
    <w:p>
      <w:r>
        <w:t>Par conséquent, l'application de l'art. 3 par. 2 du règlement Dublin III ne se justifie pas en l'espèce. Les rapports d'ONG mentionnés dans le recours ne suffisent pas à modifier cette appréciation. En particulier, le recourant ne peut tirer argument du rapport de l'Organisation Suisse d'Aide aux Réfugiés (OSAR) du 13 septembre 2022 intitulé « Violences policières en Bulgarie et en Croatie : conséquences pour les transferts Dublin » (cf. mémoire de recours, p. 4), dans la mesure notamment où la Croatie a expressément accepté de le reprendre en charge sur son territoire.</w:t>
      </w:r>
    </w:p>
    <w:p>
      <w:r>
        <w:rPr>
          <w:b/>
        </w:rPr>
        <w:t>E. 6.1</w:t>
      </w:r>
    </w:p>
    <w:p>
      <w:r>
        <w:t>Le recourant s'oppose néanmoins à son transfert vers la Croatie, déclarant, comme relevé, avoir subi des mauvais traitements de la part de la police croate. Il a en outre, en substance, émis des doutes quant à l'accès dans ce pays à une procédure d'asile respectueuse de ses droits fondamentaux et a également fait valoir la vulnérabilité liée à sa santé psychique. A cet égard, il a en substance fait valoir une violation de l'art. 17 par. 1 du règlement Dublin III en lien avec l'art. 3 CEDH.</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6.3</w:t>
      </w:r>
    </w:p>
    <w:p>
      <w:r>
        <w:t>Le recourant n'a pas démontré que sa demande de protection, une fois déposée, ne serait pas traitée par les autorités croates conformément aux dispositions légales applicables dans ce pays et à la directive Procédure. Les prises de position critiques de plusieurs organismes (notamment le Conseil de l'Europe), connues du Tribunal, concernant la situation générale en Croatie en lien avec la procédure d'asile,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6.4</w:t>
      </w:r>
    </w:p>
    <w:p>
      <w:r>
        <w:t>L'intéressé n'a pas non plus apporté d'indices selon lesquels il serait privé durablement, en Croatie, après avoir déposé sa demande d'asile, des conditions matérielles prévues par la directive Accueil et qu'il ne pourrait au besoin y faire valoir ses droits. Il n'a en particulier pas démontré que ses conditions d'existence dans ce pays, où il n'a semble-t-il passé que quelques jours, revêtiraient un tel degré de pénibilité et de gravité, pour un requérant d'asile, qu'elles seraient constitutives d'un traitement contraire à l'art. 3 CEDH ou encore à l'art. 3 CCT (cf. arrêt du Tribunal F-1125/2021 du 19 mars 2021 consid. 4.5). Sur le fond, les seules déclarations du recourant lors de son audition Dublin, complétées au stade du recours, ne suffisent pas, quoi qu'il en dise, à établir qu'il a subi de la part de la police croate des traitements contraires à l'art. 3 CEDH ou à l'art. 3 CCT. L'état de stress post-traumatique présenté par l'intéressé n'atteste pas encore les mauvais traitements qu'il aurait subis en Croatie, dès lors qu'il ne peut être exclu que ce trouble ait une origine différente. A cet égard, le recourant a notamment exposé avoir subi de graves menaces pour sa vie dans son pays d'origine (cf. mémoire de recours, p. 2). Il ressort en outre du rapport médical du 21 août 2024 précité que l'intéressé aurait été blessé au couteau par des miliciens au I._______, pays dans lequel il aurait vécu entre 2015 et 2021. Dans l'anamnèse de ce document, il est essentiellement question de faits survenus au I._______. Bien que relativement détaillées, les déclarations de l'intéressé quant aux violences subies en Croatie sont émaillées d'éléments d'invraisemblance. En effet, les allégations faites lors de l'entretien Dublin et complétées, ou corrigées, au stade du recours contiennent des confusions, notamment en ce qui concerne le moment ou les moments où le recourant aurait subi une perte de connaissance, voire les circonstances de celle-ci. De même, lors de l'entretien Dublin, il a expliqué qu'« une personne » parmi les migrants avait appelé l'ombudsman, alors qu'il ressort du mémoire de recours qu'il se serait agi de son frère ; or on ne voit pas pourquoi il ne l'aurait pas mentionné d'emblée. De plus, lors de l'entretien Dublin, le recourant a déclaré que les policiers avaient arrêté de maltraiter les migrants après l'appel de l'ombudsman, alors qu'il a exposé, dans son mémoire de recours, que les policiers les avaient battus encore plus suite à cet appel. Les policiers lui auraient même donné des coups de pied au visage et auraient marché sur sa tête avec leurs chaussures (cf. mémoire de recours, p. 2), ce dont il n'avait pas fait état lors de l'entretien Dublin. A cet égard, les douleurs à un genou, à une épaule et à un doigt présentées par l'intéressé paraissent bénignes au regard des violences extrêmes et répétées dont il aurait été victime. L'allégation selon laquelle il aurait demandé à une femme de faire croire qu'ils constituaient une famille interpelle, dès lors que ce subterfuge impliquait qu'il soit séparé de son frère, avec lequel il aurait pourtant eu une relation « fusionnelle » et avec lequel il aurait par la suite demandé à être réuni. Il est en outre douteux qu'un policier ait pris le risque de violer le recourant après qu'un ombudsman avait été averti. Il est d'ailleurs singulier que les déclarations de l'intéressé aient varié sur ce viol entre l'entretien Dublin et le mémoire de recours. On relève d'abord que le recourant avait expressément accepté de s'exprimer sur les faits traumatisants lors de son entretien Dublin (cf. p. 3). Il paraît ainsi peu convaincant que l'intéressé, après avoir indiqué au SEM avoir subi une tentative de viol, ait attendu le dépôt du recours pour faire part à sa représentation juridique du viol qu'il aurait en réalité subi. Contrairement à ce que soutient le recourant, les documents médicaux au dossier n'étayent pas cette seconde version des faits. Il n'en ressort notamment pas que les saignements de l'intéressé résulteraient d'un viol. Malgré la formulation ambiguë de certains des rapports établis le 16 novembre 2022, il appert en effet que le recourant s'est rendu aux urgences au cours de la nuit précédente pour des problèmes de toux accompagnée de saignements. Aucun document médical ne constate l'existence de problèmes physiques liés au viol. Etrangement d'ailleurs, le dernier rapport médical produit, le plus complet, ne fait aucunement mention d'un tel événement. Le requérant a relaté à sa thérapeute avoir subi des violences policières en Croatie, évoquant des épisodes de crachats en lien avec un épisode d'abus pendant lequel il a été obligé de boire l'eau de la cuvette des wc. Par ailleurs, le comportement prêté aux policiers croates qui auraient interpellé l'intéressé à la frontière alors qu'il s'apprêtait à quitter le pays, policiers auxquels il aurait pu ensuite échapper, paraît illogique. On ne comprend en effet pas pourquoi ceux-ci auraient saisi son ordre de quitter le pays et l'auraient ramené en Croatie. D'ailleurs, l'intéressé livre un récit différent au stade du recours, expliquant que ces policiers, après avoir confisqué le document précité, alors qu'il ignorait où il se trouvait, lui auraient dit qu'il devait se rendre à Zagreb, puis l'auraient apparemment laissé aller, en lui disant que s'ils l'attrapaient encore, ils le renverraient dans son pays (cf. mémoire de recours, p. 3). Il ne peut certes être exclu qu'il ait été traité avec hostilité par la police croate ; son récit, sur bien des points, apparaît toutefois empreint d'exagérations. S'il peut être admis que les policiers croates ont traité des requérants d'asile en situation irrégulière avec une forte animosité, la cruauté décrite, si on lui ajoute les invraisemblances du récit, est fortement douteuse. Sur ce point, il peut être relevé encore qu'à son arrivée en Suisse, quelques jours après avoir subi les sévices nouvellement relatés au stade du recours - les coups de pieds au visage et le fait de lui marcher sur la tête - le recourant n'en portait aucune trace. Les mauvais traitements allégués, y compris le viol évoqué au stade du recours, ne sont ainsi manifestement pas établis. Ils ne sauraient quoi qu'il en soit être considérés comme représentatifs du comportement des autorités croates dans leur ensemble. En outre et surtout, les allégations du recourant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 Enfin, les faits allégués n'étant pas vraisemblables, l'intéressé ne saurait s'en prévaloir pour réclamer qu'il soit renoncé à son transfert « selon le même raisonnement qui prévaut en matière d'asile et de raisons impérieuses » (cf. réplique, p. 2 ; sur cette notion, cf. not. ATAF 2007/31). On ne saurait dès lors retenir que l'intéressé encourt un risque de retraumatisation en cas de retour en Croatie.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(art. 26 directive Accueil ; cf. arrêt du TAF F-1543/2018 du 19 mars 2018 consid. 6.2).</w:t>
      </w:r>
    </w:p>
    <w:p>
      <w:r>
        <w:rPr>
          <w:b/>
        </w:rPr>
        <w:t>E. 6.5.1</w:t>
      </w:r>
    </w:p>
    <w:p>
      <w:r>
        <w:t>Compte tenu de la jurisprudence restrictive en la matière, encore récemment rappelée par le Tribunal (cf. not. arrêts du Tribunal E-5863/2022 du 23 janvier 2024 consid. 7.4.3 ; F-2394/2023 du 18 janvier 2024 consid. 7.4 ; D-3385/2023 du 28 juillet 2023 considérant 7.3.2), il y a lieu de considérer, à l'instar du SEM, que les problèmes de santé évoqués par le recourant, que le Tribunal ne minimise en rien, ne sont pas d'une gravité telle qu'il se justifierait de renoncer à son transfert vers la Croatie (cf., à ce sujet, arrêt Paposhvili c. Belgique [GC] du 13 décembre 2016, requête no 41738/10). En effet, force est de constater que le dossier ne permet pas de retenir l'existence de maladies d'une gravité, d'une urgence ou d'une spécificité telles qu'elles ne pourraient pas être traitées en Croatie (sur les possibilités de prise en charge médicale dans le domaine de l'asile en Croatie, cf. arrêt du Tribunal E-5863/2022 précité et jurisp. cit.). Il en va en particulier ainsi de ses troubles psychiques, tels qu'ils ressortent des rapports du 16 décembre 2022 et du 11 mai 2023 précités. En outre, ces affections n'appellent manifestement aucune mesure urgente. En tout état de cause, on rappellera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En définitive, quoi qu'il en dise, rien n'indique que le recourant ne puisse obtenir en Croatie les soins nécessités par son état, notamment psychique, et y bénéficier des suivis nécessaires sur le plan somatique. L'allégation selon laquelle l'association Médecins du Monde aurait stoppé ses activités sur place au printemps 2023 ne modifie pas cette conclusion. Il est d'ailleurs rappelé que lesdites activités ont apparemment repris, comme l'indique le recourant (cf. courrier du 28 août 2024 précité ; sur ce point, cf. également arrêt E-5863/2022 précité) et que le ministère de l'Intérieur croate a mandaté des ONG pour fournir des soins médicaux aux requérants d'asile. Les rapports généraux mentionnés par le recourant ne sont pas de nature à modifier ces conclusions.</w:t>
      </w:r>
    </w:p>
    <w:p>
      <w:r>
        <w:rPr>
          <w:b/>
        </w:rPr>
        <w:t>E. 6.5.2</w:t>
      </w:r>
    </w:p>
    <w:p>
      <w:r>
        <w:t>Comme relevé, l'intéressé a exprimé des idées suicidaires pour le cas où il serait transféré en Croatie. Il a ajouté avoir failli se suicider à deux reprises depuis son arrivée en Suisse et s'être rendu aux urgences psychiatriques, ce qui n'est toutefois pas étayé. Selon le document médical le plus récent, il présentait, comme exposé, des idées suicidaires scénarisées fluctuantes. Cela dit, il est rappelé que, selon la pratique du Tribunal et des instances européennes, des tendances suicidaires (« suicidalité ») ne constituent pas, en soi, un obstacle à l'exécution du renvoi, seule une mise en danger présentant des formes concrètes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précité A.S. c. Suisse, par. 34 et réf. cit.). Dans son arrêt en l'affaire Fernandes de Oliveira c. Portugal du 31 janvier 2019 (Grande chambre, requête n° 78103/14,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En l'occurrence, les risques de décompensation décrits sont en lien avec une réexposition à des situations traumatiques et à un retrait du système de soutien mis en place. Or il ressort de ce qui précède, d'une part, que l'intéressé ne sera pas confronté aux situations prétendument vécues, étant rappelé les forts doutes entourant leur survenance et, d'autre part, que le suivi médical pourra et devra être poursuivi, les informations nécessaires étant impérativement transmises au moment du transfert (cf. consid 6.5.4). Le recourant n'est par ailleurs pas connu pour des antécédents avérés que ce soit de trouble mental grave, de tentative de suicide ou d'acte d'auto-agression. Si des menaces auto-agressives devaient (ré)apparaître au moment de l'organisation du départ de Suisse, il appartiendrait aux autorités chargées de l'exécution du transfert de prévoir des mesures concrètes pour en prévenir la réalisation. Il appartiendra également, le cas échéant, aux thérapeutes du recourant de le préparer à la perspective de son transfert. Les menaces auto-agressives qui se manifesteraient par la suite devront et pourront, le cas échéant, être gérées en Croatie. Une péjoration de la santé psychique - si elle devait se manifester chez le recourant suite au présent arrêt - est fréquemment observée chez les personnes faisant l'objet de décisions négatives en matière d'asile, sans pour autant faire obstacle à l'exécution du renvoi ou du transfert. Dans ce contexte, il est une fois de plus rappelé que les mauvais traitements subis en Croatie - en tous les cas de l'ampleur que tente de leur donner l'intéressé - n'ont pas été rendus crédibles, et qu'en tout état de cause, le recourant, qui sera transférés à Zagreb, ne se retrouvera pas confronté à la situation qui a pu être la sienne dans les zones frontalières (cf. consid. 6.4).</w:t>
      </w:r>
    </w:p>
    <w:p>
      <w:r>
        <w:rPr>
          <w:b/>
        </w:rPr>
        <w:t>E. 6.5.3</w:t>
      </w:r>
    </w:p>
    <w:p>
      <w:r>
        <w:t>Dès lors, il y a lieu de retenir que l'état de santé du recourant ne saurait faire obstacle à l'exécution de son transfert vers la Croatie.</w:t>
      </w:r>
    </w:p>
    <w:p>
      <w:r>
        <w:rPr>
          <w:b/>
        </w:rPr>
        <w:t>E. 6.5.4</w:t>
      </w:r>
    </w:p>
    <w:p>
      <w:r>
        <w:t>Cela dit, afin d'assurer que les traitements ne seront pas interrompus au moment du transfert et qu'ils seront poursuivis en Croatie, il incombera aux autorités suisses chargées de l'exécution du transfert de transmettre à leurs homologues croates, en temps utile, les renseignements permettant une prise en charge médicale adéquate du recourant (art. 31 et 32 du règlement Dublin III), étant rappelé que celui-ci a donné son accord à la transmission de ses données médicales en date du 15 novembre 2022.</w:t>
      </w:r>
    </w:p>
    <w:p>
      <w:r>
        <w:rPr>
          <w:b/>
        </w:rPr>
        <w:t>E. 6.6</w:t>
      </w:r>
    </w:p>
    <w:p>
      <w:r>
        <w:t>Par conséquent, le transfert de l'intéressé vers la Croatie n'est pas contraire aux obligations découlant de dispositions conventionnelles auxquelles la Suisse est liée.</w:t>
      </w:r>
    </w:p>
    <w:p>
      <w:r>
        <w:rPr>
          <w:b/>
        </w:rPr>
        <w:t>E. 6.7</w:t>
      </w:r>
    </w:p>
    <w:p>
      <w:r>
        <w:t>Il y a en outre lieu de constater que le SEM a établi de manière complète et exacte l'ensemble des faits pertinents pour l'examen de la question et n'a commis ni excès ni abus de son pouvoir d'appréciation en refusant d'admettre l'existence de raisons humanitaires au sens de l'art. 29a al. 3 OA 1, en combinaison avec l'art. 17 par. 1 du règlement Dublin III (cf. ATAF 2015/9 consid. 8).</w:t>
      </w:r>
    </w:p>
    <w:p>
      <w:r>
        <w:rPr>
          <w:b/>
        </w:rPr>
        <w:t>E. 6.8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1 let. b LAsi, et a prononcé son transfert de Suisse vers la Croatie. Par conséquent, le recours doit être rejeté.</w:t>
      </w:r>
    </w:p>
    <w:p>
      <w:r>
        <w:rPr>
          <w:b/>
        </w:rPr>
        <w:t>E. 8</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en a toutefois été dispensé par décision incidente du 24 avril 2023, de sorte qu'il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