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E-2112/2014 vom 22. Juli 2014</w:t>
      </w:r>
    </w:p>
    <w:p>
      <w:r>
        <w:t>Bundesverwaltungsgericht, 2014-07-22, DE</w:t>
      </w:r>
    </w:p>
    <w:p>
      <w:r>
        <w:rPr>
          <w:b/>
        </w:rPr>
        <w:t xml:space="preserve">Quelle: </w:t>
      </w:r>
      <w:r>
        <w:t>https://mcp.opencaselaw.ch/entscheid/bvger_E-2112_2014</w:t>
      </w:r>
    </w:p>
    <w:p>
      <w:r>
        <w:t>FR: TAF E-2112/2014 du 22 juillet 2014</w:t>
      </w:r>
    </w:p>
    <w:p>
      <w:r>
        <w:t>IT: TAF E-2112/2014 del 22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vorbehältlich der nachstehenden Erwägungen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Der Beschwerde kommt aufschiebende Wirkung zu (Art. 55 Abs. 1 VwVG; Art. 42 AsylG), und das BFM hat einer allfälligen Beschwerde die aufschiebende Wirkung nicht entzogen (Art. 55 Abs. 2 VwVG), weshalb auf den Antrag auf Wiederherstellung der aufschiebenden Wirkung nicht einzutreten ist.</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ablehnenden Entscheides aus, die Türkei habe in den vergangenen Jahren kontinuierlich Schritte zur Verbesserung der rechtlichen und gesellschaftlichen Situation der Frauen unternommen, insbesondere zu deren Schutz vor Übergriffen mit soziokulturellem Hintergrund, und es seien verschiedene neue Gesetzesbestimmungen in Kraft getreten. Zudem gebe es etliche Frauenhäuser, eine Telefon-Hotline für bedrohte Frauen und verschiedene spezifische Nichtregierungsorganisationen, welche um eine Verbesserung der Stellung der Frau und um Unterstützung und Gewährung von Schutz für Opfer innerfamiliärer Gewalt bemüht seien. Die Türkei verfüge über eine wirksame und funktionierende staatliche Infrastruktur, weshalb es zumutbar sei, bei den zuständigen Behörden und Anlaufstellen um Schutz und Unterstützung nachzusuchen. Zudem könne die Beschwerdeführerin auf eine innerstaatliche Schutzalternative zurückgreifen, da sie in D._______ durch (...) unterstützt und dort von (...) nicht behelligt worden sei, und ausserdem ihr Bruder in D._______ wohne. Die geltend gemachten Übergriffe seien folglich nicht asylrelevant. Obwohl angesichts der fehlenden Asylrelevanz darauf verzichtet werden könne, eine Glaubhaftigkeitsprüfung vorzunehmen, sei festzustellen, dass bezüglich ihres Vorbringens, (...) hätten sie an einen Mann verkaufen respektive verheiraten wollen, Zweifel angebracht seien. Zum einen sei augenfällig, dass sie ihr Asylgesuch in engem zeitlichem Zusammenhang mit ihrer Verhaftung eingereicht habe, nachdem sie bereits rund zehn Monate in der Schweiz gewesen sei und eine frühere Einreichung des Gesuches zumutbar und möglich gewesen wäre. Abgesehen davon habe sie anlässlich ihrer polizeilichen Einvernahme widersprüchliche Angaben zu ihrer Einreise und ihrem Aufenthalt in der Schweiz gemacht. Ihr Verhalten entspreche nicht demjenigen einer verfolgten Person.</w:t>
      </w:r>
    </w:p>
    <w:p>
      <w:r>
        <w:rPr>
          <w:b/>
        </w:rPr>
        <w:t>E. 5.2</w:t>
      </w:r>
    </w:p>
    <w:p>
      <w:r>
        <w:t>Die Beschwerdeführerin hielt diesen Erwägungen entgegen, die Türkei habe zwar viele Schritte unternommen, um die Situation der Frauen zu verbessern, diese seien jedoch offensichtlich absolut ungenügend. Es nütze einer zwangsverheirateten Frau nichts, wenn (...) deswegen bestraft würden, weil sie dann bereits mit einem ungeliebten Mann verheiratet sei. Die SFH komme in ihrem Bericht jedenfalls zu einem anderen Schluss, was die Möglichkeiten der Frauen betreffe. Die Beschwerdeführerin habe es nicht so weit kommen lassen und sei in die Schweiz geflüchtet. Der Vorwurf, sie habe ihr Asylgesuch erst gestellt, nachdem sie verhaftet worden sei, könne nicht widerlegt werden. Sie habe aber vorher angenommen, ihr Asylgesuch würde nicht entgegengenommen, da sie in der Türkei nicht politisch aktiv gewesen sei und keine spezifischen Probleme gehabt habe. Nach der Verhaftung habe sie auf Anraten ihres Rechtsvertreters ein Asylgesuch gestellt und ihre Probleme geschildert, wie sie tatsächlich gewesen seien. Entgegen den Ausführungen im angefochtenen Entscheid komme es für den Ehemann nicht in Frage, zur Wahrung der Familieneinheit mit der Beschwerdeführerin und dem gemeinsamen Sohn in die Türkei zurückzukehren, da er eine gute Anstellung habe und sein Sohn aus erster Ehe in der Schweiz lebe. Eine Trennung vom Vater wäre für den Sohn der Beschwerdeführerin schlecht, da beide Elternteile für seine Entwicklung wichtig seien.</w:t>
      </w:r>
    </w:p>
    <w:p>
      <w:r>
        <w:rPr>
          <w:b/>
        </w:rPr>
        <w:t>E. 6.1</w:t>
      </w:r>
    </w:p>
    <w:p>
      <w:r>
        <w:t>Das Bundesverwaltungsgericht stellt in Übereinstimmung mit dem Bundesamt fest, dass die Beschwerdeführerin die Flüchtlingseigenschaft nicht erfüllt. Die vom BFM geäusserten Zweifel am Wahrheitsgehalt der Vorbringen konnten auf Beschwerdeebene nicht zerstreut werden, und die Einschätzung der Vorinstanz, wonach das Verhalten der Beschwerdeführerin nicht demjenigen einer verfolgten Person entspreche, wird vom Gericht geteilt. Wie jedoch bereits vom BFM ausgeführt, kann die Glaubhaftigkeit der Asylgründe vorliegend offenbleiben.</w:t>
      </w:r>
    </w:p>
    <w:p>
      <w:r>
        <w:rPr>
          <w:b/>
        </w:rPr>
        <w:t>E. 6.2</w:t>
      </w:r>
    </w:p>
    <w:p>
      <w:r>
        <w:t>Wie die Vorinstanz festgestellt hat, haben die türkischen Behörden grosse Anstrengungen zur Bekämpfung von häuslicher Gewalt und von Ehrenmorden unternommen und in den vergangenen Jahren bei der faktischen Wahrnehmung frauenspezifischer Schutzanliegen erhebliche Fortschritte erzielen können (vgl. Urteil des Bundesverwaltungsgerichts D-1207/2011 vom 28. Sep­tem­ber 2011 E. 4.2.5, m.w.H.). Zur Vermeidung von Wiederholungen kann auf die entsprechenden Ausführungen in der angefochtenen Verfügung verwiesen werden. Ergänzend zu den vorinstanzlichen Erwägungen kann festgehalten werden, dass die Türkei das Übereinkommen des Europarates zur Verhütung und Bekämpfung von Gewalt gegen Frauen und häusliche Gewalt vom 11. Mai 2011 unterzeichnet hat. Die neue europäische Konvention soll Frauen besser vor Gewalt und häuslichen Übergriffen schützen. Die entsprechende Übereinkunft wurde bei einem Aussenministertreffen des Europarates von 13 Staaten unterzeichnet, unter anderem auch von der Türkei. In dem Dokument verpflichten sich die Staaten erstmals auf ein konkretes Vorgehen gegen häusliche Gewalt. Anfang März 2012 wurde in der Türkei ein Gesetz verabschiedet, das Frauen besser vor häuslicher Gewalt schützen soll. Die wichtigste Neuerung dieses Geset­zes ist, dass alle Frauen unabhängig von ihrem Beziehungsstatus An­recht auf Schutz haben. Ausserdem soll die Polizei nun schneller auf Anzeigen und Hilfegesuche durch Betroffene reagieren. Weiter wurden unter dem Gesetz Nr. 6284 über die Verhütung von Ge­walt gegen Frauen (verabschiedet am 8. März 2012) vorbeugende Massnahmen gegen häusliche Gewalt und Missbrauch geregelt und neue Zentren zur Gewaltprävention und Überwachung ( ÖNIM) geschaffen (vgl. Urteil des Bundesverwaltungsgerichts D-4592/2013 vom 8. Januar 2014 E. 5.1 m.w.H.).</w:t>
      </w:r>
    </w:p>
    <w:p>
      <w:r>
        <w:rPr>
          <w:b/>
        </w:rPr>
        <w:t>E. 6.3</w:t>
      </w:r>
    </w:p>
    <w:p>
      <w:r>
        <w:t>Nach dem Gesagten ist festzustellen, dass bei den türkischen Behörden in den vergangenen Jahren ein Umdenken in Bezug auf frauenspezifische Schutzanliegen begonnen hat und erste entsprechende Einrichtungen geschaffen wurden; daneben bieten auch mehrere nichtstaatliche Stellen betroffenen Frauen Unterstützung. Auch wenn die Umsetzung der staatlichen Programme nur langsam vorankommt und das Phänomen innerfamiliärer Gewalt bis hin zu Ehrenmorden immer noch verbreitet ist, ist davon auszugehen, dass sich die Beschwerdeführerin in der Türkei nicht in einer ausweglosen Situation befand und nach der Rückkehr aufgrund der weiter verbesserten Situation auch nicht in einer solchen befinden wird. Im Falle von Behelligungen durch (...) nach der Rückkehr hätte sie die Möglichkeit, an die grundsätzlich vorhandene Schutzinfrastruktur zu gelangen. Im vorliegenden Fall kommt hinzu, dass sie sich ihren eigenen Angaben zufolge gar nie an die türkischen Behörden gewandt hat (vgl. A13/12 S. 8, A25/13 S. 6), weshalb diesen weder mangelnder Schutzwille noch mangelnde Schutzfähigkeit vorgeworfen werden kann. Ausserdem konnte die Beschwerdeführerin vor ihrer Ausreise während zwei Monaten unbehelligt in D._______ leben und wurde durch (...) unterstützt. Wie in der angefochtenen Verfügung zutreffend ausgeführt, besteht für die Beschwerdeführerin damit im Bedarfsfall eine zumutbare innerstaatliche Schutzalternative. Die Beschwerdevorbringen vermögen an dieser Einschätzung nichts zu ändern, weshalb es sich erübrigt, weiter darauf einzugehen.</w:t>
      </w:r>
    </w:p>
    <w:p>
      <w:r>
        <w:rPr>
          <w:b/>
        </w:rPr>
        <w:t>E. 6.4</w:t>
      </w:r>
    </w:p>
    <w:p>
      <w:r>
        <w:t>Zusammenfassend ist festzuhalten, dass die Türkei hinsichtlich der von der Beschwerdeführerin geltend gemachten privaten Verfolgung als schutzwillig und schutzfähig zu erachten ist, und dass der Beschwerdeführerin die Inanspruchnahme dieses Schutzes zumutbar ist. Somit hat das BFM zu Recht ihre Flüchtlingseigenschaft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7.2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Urteil des Bundesverwaltungsgerichts D-3341/2011 vom 10. April 2013 E. 5; BVGE 2013/37 E. 4.4). Diese besagt, dass Ausländerinnen und Ausländer gestützt auf den in Art. 8 EMRK und Art. 13 BV gewährleisteten Schutz des Familienlebens ein potenzieller Anspruch auf Aufenthalt in der Schweiz erwächst, wenn intakte und tatsächlich gelebte Familienbande zu nahen Verwandten (sog.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130 II 281 E. 3.1 S. 285 f., Entscheidungen und Mitteilungen der Schweizerischen Asylrekurskommission [EMARK] 2005 Nr. 3 E. 3.1 S. 31 f.). Kann sich die asylsuchende Person auf einen grundsätzlichen Anspruch auf Erteilung einer Aufenthaltsbewilligung berufen,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BFM - weist es das Asylgesuch ab oder tritt es auf dieses nicht ein - die Wegweisung nicht zu verfügen. Das Bundesverwaltungsgericht hebt gegebenenfalls eine vom BFM verfügte Wegweisung auf (vgl. EMARK 2001 Nr. 21 E. 9a S. 177).</w:t>
      </w:r>
    </w:p>
    <w:p>
      <w:r>
        <w:rPr>
          <w:b/>
        </w:rPr>
        <w:t>E. 7.3</w:t>
      </w:r>
    </w:p>
    <w:p>
      <w:r>
        <w:t>Die Beschwerdeführerin ist seit (...) mit F._______, welcher über eine Aufenthaltsbewilligung B verfügt, verheiratet. Der gemeinsame Sohn B._______ kam am (...) zur Welt. Der Ehemann der Beschwerdeführerin reiste am 13. Mai 2002 in die Schweiz ein und suchte gleichentags um Asyl nach. Mit Verfügung vom 9. April 2003 lehnte das BFM das Asylgesuch ab, die dagegen erhobene Beschwerde wurde mit Entscheid der Schweizerischen Asylrekurskommission vom 12. April 2006 abgewiesen. Gemäss Auskunft der zuständigen kantonalen Behörde vom 5. Juni 2014 erhielt der Ehemann per 7. Mai 2008 eine Aufenthaltsbewilligung, nachdem er (...) seine in der Schweiz niedergelassene erste Ehefrau geheiratet hatte. Seine Aufenthaltsbewilligung werde voraussichtlich im Juli 2014 verlängert und der Aufenthaltsgrund geändert in "Aufenthaltsbewilligung nach Auflösung der Ehe", da die erste Ehe über drei Jahre gedauert habe und er erfolgreich integriert sei. Der Ehemann der Beschwerdeführerin befindet sich nach dem Gesagten seit über zwölf Jahren in der Schweiz und ist seit sechs Jahren im Besitz einer Aufenthaltsbewilligung (der Anspruch auf eine solche bestand bereits fast zwei Jahre vor der erstmaligen Erteilung), welche voraussichtlich verlängert wird. Gemäss Art. 34 Abs. 2 Bst. a und b AuG (SR 142.20) kann einem Ausländer die Niederlassungsbewilligung erteilt werden, wenn er sich insgesamt mindestens zehn Jahre mit einer Kurzaufenthalts- oder Aufenthaltsbewilligung in der Schweiz aufgehalten hat und während der letzten fünf Jahren ununterbrochen im Besitz einer Aufenthaltsbewilligung war und keine Widerrufsgründe nach Art. 62 AuG vorliegen. Gemäss Art. 34 Abs. 4 AuG kann bei erfolgreicher Integration, namentlich wenn die betroffene Person über gute Kenntnisse einer Landessprache verfügt, nach ununterbrochenem Aufenthalt mit Aufenthaltsbewilligung während der letzten fünf Jahre die Niederlassungsbewilligung erteilt werden. Aufgrund der Auskunft des Migrationsamts des Kantons Zürich vom 5. Juni 2014, welche eine erfolgreiche Integration als Grund für die Verlängerung der Aufenthaltsbewilligung nennt, und der Tatsache, dass er seit mehr als fünf Jahren über eine Aufenthaltsbewilligung verfügt, ist festzustellen, dass der Ehemann der Beschwerdeführerin die Voraussetzungen von Art. 34 Abs. 4 AuG erfüllen dürfte. Die Voraussetzungen von Art. 34 Abs. 2 Bst. a und b AuG dürften in absehbarer Zeit ebenfalls erfüllt sein. Vor diesem Hintergrund ist von einem gefestigten Anwesenheitsrecht des Ehemannes der Beschwerdeführerin in der Schweiz auszugehen. Aufgrund der Akten ist weiter von einer gelebten, intakten Ehe auszugehen, sodass sich die Beschwerdeführerin auf Art. 8 EMRK berufen kann. Die Vorfrage, ob den Familienangehörigen grundsätzlich ein Anspruch gestützt auf die genannte Norm zusteht, ist somit zu bejahen. Die konkrete Beurteilung des Anspruchs ist nicht mehr Sache des Bundesverwaltungsgerichts. Mit Eingabe vom (...) hat der Ehemann bei der (...) ein Gesuch um Familiennachzug betreffend die Beschwerdeführerin eingereicht. Damit liegt die Zuständigkeit für den Entscheid über eine Wegweisung und deren allfälligen Vollzug bei der kantonalen Fremdenpolizeibehörde.</w:t>
      </w:r>
    </w:p>
    <w:p>
      <w:r>
        <w:rPr>
          <w:b/>
        </w:rPr>
        <w:t>E. 7.4</w:t>
      </w:r>
    </w:p>
    <w:p>
      <w:r>
        <w:t>Die im Asylverfahren angeordnete Wegweisung wird praxisgemäss aufgehoben, wenn ein Anspruch gestützt auf Art. 8 EMRK vorfrageweise bejaht wird (vgl. BVGE 2013/37 E.4.4.2; Urteil des Bundesverwaltungsgerichts D-5547/2008 vom 16. März 2011 m.w.H.). Damit erübrigen sich Ausführungen zur Durchführbarkeit des Wegweisungsvollzuges; allfällige Wegweisungshindernisse sind durch die kantonale Migrationsbehörde zu prüfen.</w:t>
      </w:r>
    </w:p>
    <w:p>
      <w:r>
        <w:rPr>
          <w:b/>
        </w:rPr>
        <w:t>E. 8</w:t>
      </w:r>
    </w:p>
    <w:p>
      <w:r>
        <w:t>Zusammenfassend ist die Beschwerde betreffend die Dispositivziffern 1 (Nichterfüllen der Flüchtlingseigenschaft) und 2 (Ablehnung des Asylgesuchs) der Verfügung des BFM vom 21. März 2014 abzuweisen, soweit darauf einzutreten ist. Betreffend die Dispositivziffer 3 (verfügte Wegweisung) ist die Beschwerde gutzuheissen, und betreffend den Vollzug der Wegweisung (Dispositivziffern 4 und 5) ist sie als gegenstandslos geworden abzuschreiben. Die Dispositivziffern 3-5 der angefochtenen Verfügung sind infolgedessen aufzuheben.</w:t>
      </w:r>
    </w:p>
    <w:p>
      <w:r>
        <w:rPr>
          <w:b/>
        </w:rPr>
        <w:t>E. 9.1</w:t>
      </w:r>
    </w:p>
    <w:p>
      <w:r>
        <w:t>Bei diesem Ausgang des Verfahrens ist von einem hälftigen Obsiegen der Beschwerdeführerin auszugehen (Art. 63 Abs. 1 und 5 VwVG; Art. 1-3 des Reglements vom 21. Februar 2008 über die Kosten und Entschädigungen vor dem Bundesverwaltungsgericht [VGKE, SR 173.320.2]). Die Kosten des Verfahrens sind daher auf Fr. 300.- festzusetzen (vgl. Art. 63 Abs. 1 VwVG; Art. 2 und 3 VGKE i.V.m. Art. 16 Abs. 1 Bst. a VGG) und der Beschwerdeführerin aufzuerlegen.</w:t>
      </w:r>
    </w:p>
    <w:p>
      <w:r>
        <w:rPr>
          <w:b/>
        </w:rPr>
        <w:t>E. 9.2</w:t>
      </w:r>
    </w:p>
    <w:p>
      <w:r>
        <w:t>Die Beschwerdeinstanz kann der ganz oder teilweise obsiegenden Partei von Amtes wegen oder auf Begehren hin eine Entschädigung für die ihr erwachsenen notwendigen und verhältnismässig hohen Kosten zusprechen (Art. 64 Abs. 1 VwVG i.V.m. Art. 7 Abs. 1 und 2 VGKE). Nachdem die Rechtsvertreterin der Beschwerdeführerin keine Kostennote eingereicht hat, ist die Parteientschädigung auf Grund der Akten festzusetzen (Art. 14 Abs. 2 in fine VGKE). Die Vertretungskosten sind deshalb unter Berück­sichtigung der massgeblichen Bemessungsfaktoren (vgl. Art. 8 ff. VGKE) auf insgesamt Fr. 700.- (inkl. Auslagen und Mehrwertsteuer) zu bemes­sen, und das BFM ist anzuweisen, der Beschwerdeführerin den um die Hälfte gekürzten Betrag von Fr. 350.-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