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E-2109/2017 vom 22. Mai 2017</w:t>
      </w:r>
    </w:p>
    <w:p>
      <w:r>
        <w:t>Bundesverwaltungsgericht, 2017-05-22, DE</w:t>
      </w:r>
    </w:p>
    <w:p>
      <w:r>
        <w:rPr>
          <w:b/>
        </w:rPr>
        <w:t xml:space="preserve">Quelle: </w:t>
      </w:r>
      <w:r>
        <w:t>https://mcp.opencaselaw.ch/entscheid/bvger_E-2109_2017</w:t>
      </w:r>
    </w:p>
    <w:p>
      <w:r>
        <w:t>FR: TAF E-2109/2017 du 22 mai 2017</w:t>
      </w:r>
    </w:p>
    <w:p>
      <w:r>
        <w:t>IT: TAF E-2109/2017 del 22 maggio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4.2</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4.3</w:t>
      </w:r>
    </w:p>
    <w:p>
      <w:r>
        <w:t>Bezüglich der zusätzlichen Anknüpfungspunkte gilt der gleiche Beweisstandard wie bei der Prüfung der Flüchtlingseigenschaft; das heisst, sie sind zu beweisen, wenn der strikte Beweis möglich ist, und andernfalls wenigstens glaubhaft zu machen (vgl. Art. 7 Abs. 1 AsylG).</w:t>
      </w:r>
    </w:p>
    <w:p>
      <w:r>
        <w:rPr>
          <w:b/>
        </w:rPr>
        <w:t>E. 5.1</w:t>
      </w:r>
    </w:p>
    <w:p>
      <w:r>
        <w:t>Die Vorinstanz begründet ihren Entscheid damit, gemäss Angaben des Beschwerdeführers sei er nur indirekt durch die Privatperson bedroht worden. Er sei - auch wegen seiner Minderjährigkeit - nie direkt von Soldaten kontaktiert worden und nie in Razzien involviert gewesen. Die Angst vor künftigen Problemen mit Soldaten und Behörden habe er nur vage formuliert. Er habe keine Anhaltspunkte nennen können, die auf ein tatsächliches Bestehen einer künftigen Bedrohung hingewiesen hätten. Eine bloss vage, allgemeine Angst vor einer künftigen Festnahme sei nicht asylrelevant. Ebensowenig seien die schwierigen Lebensbedingungen aufgrund der Verhaftung seines Vaters, der Enteignung der Plantage sowie der daraus entstandenen psychischen Belastung asylrelevant; zumal dies die sozialen und wirtschaftlichen Lebensbedingungen in seinem Heimatstaat widerspiegle, von welchen ein grossen Teil der Bevölkerung gleichermassen betroffen sei.</w:t>
      </w:r>
    </w:p>
    <w:p>
      <w:r>
        <w:rPr>
          <w:b/>
        </w:rPr>
        <w:t>E. 5.2</w:t>
      </w:r>
    </w:p>
    <w:p>
      <w:r>
        <w:t>Der Beschwerdeführer bringt vor, wegen des Vorfalls mit der Privatperson sei sein Vater ins Gefängnis gekommen und sein Onkel verschwunden. Als ältester Sohn habe er Angst, die Privatperson könnte auch ihm Schaden zufügen. Das eritreische Regime würde ihn aufgrunddessen als regimekritischen Oppositionellen einstufen und bei einer Rückkehr inhaftieren und foltern. Zudem sei er bald im militärdienstpflichtigen Alter. Im Falle einer Rückkehr nach Eritrea würde er als Deserteur angesehen und verfolgt werden. Somit würden nebst der illegalen Ausreise zusätzliche Anknüpfungspunkte, die eine asylrelevante Verfolgungsgefahr bewirkten, vorliegen.</w:t>
      </w:r>
    </w:p>
    <w:p>
      <w:r>
        <w:rPr>
          <w:b/>
        </w:rPr>
        <w:t>E. 5.3</w:t>
      </w:r>
    </w:p>
    <w:p>
      <w:r>
        <w:t>Die Vorinstanz hat zu Recht festgestellt, dass der Beschwerdeführer nie direkt von der Privatperson, mit welcher sein Vater Streit hatte, behelligt worden ist. So gab der Beschwerdeführer lediglich an, die Privatperson habe ihm beim Vorbeigehen böse Blicke zugeworfen und seine Mutter nicht gegrüsst. Ebensowenig machte er eine konkrete Bedrohung durch Soldaten geltend. Er kam nie in Kontakt mit Soldaten und war nie in Razzien involviert. Bei der Streitigkeit um die Plantage zwischen seinem Vater und der Privatperson handelte es sich um eine Auseinandersetzung unter Privatpersonen. Weshalb der Vater inhaftiert worden und der Onkel verschwunden ist, konnte der Beschwerdeführer nicht genau angeben. Es ist demnach nicht davon auszugehen, der Beschwerdeführer werde als regimekritischer Oppositioneller eingestuft, zumal er in den Monaten seit der Verhaftung seines Vaters bis zu seiner Ausreise von den eritreischen Behörden nicht behelligt worden ist. Ebensowenig ist anzunehmen, er würde bei einer Rückkehr als Deserteur angesehen. Gemäss der Rechtsprechung des Bundesverwaltungsgerichts ist die Furcht vor einer Bestrafung wegen Dienstverweigerung oder Desertion dann begründet, wenn die betroffene Person in einem konkreten Kontakt zu den Militärbehörden stand. Ein solcher Kontakt ist regelmässig anzunehmen, wenn die betroffene Person im aktiven Dienst stand und desertierte. In diesen Fällen droht grundsätzlich nicht nur eine Haftstrafe, sondern eine Inhaftierung unter unmenschlichen Bedingungen und Folter, wobei Deserteure regelmässig der Willkür ihrer Vorgesetzten ausgesetzt sind (vgl. Entscheidungen und Mitteilungen der ARK [EMARK] 2006 Nr. 3 sowie jüngst Urteil des BVGer D-632/2017 vom 23. Februar 2017, E. 5.1.2). Der Beschwerdeführer hat angesichts seines Alters von 14 Jahren im Zeitpunkt der Ausreise keinen Kontakt mit den aufbietenden militärischen Behörden haben können und einen solchen auch nicht geltend gemacht. Entsprechend kann er gemäss der dargestellten Rechtsprechung aus der theoretischen Möglichkeit einer zukünftigen Bestrafung wegen Wehrdienstverweigerung nichts zu seinen Gunsten ableiten. Die geltend gemachten schwierigen Lebensbedingungen sind - wie die Vorinstanz zutreffend ausgeführt hat - ebenfalls nicht asylrelevant.</w:t>
      </w:r>
    </w:p>
    <w:p>
      <w:r>
        <w:rPr>
          <w:b/>
        </w:rPr>
        <w:t>E. 5.4</w:t>
      </w:r>
    </w:p>
    <w:p>
      <w:r>
        <w:t>Aufgrund des oben Gesagten sind keine weiteren Anknüpfungspunkte erkennbar, welche den Beschwerdeführer in den Augen des eritreischen Regimes als missliebige Person erscheinen lassen beziehungsweise zu einer Schärfung des Profils und dadurch zu einer flüchtlingsrechtlich relevanten Verfolgungsgefahr führen könnten. Somit ist vorliegend nicht von einer asylrechtlich beachtlichen Verfolgung auszugehen. Die Vorinstanz hat das Asylgesuch zu Recht abgewiesen.</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angefochtenen Verfügung vom 9. März 2017 die vorläufige Aufnahme des Beschwerdeführers in der Schweiz angeordnet. Demnach erübrigen sich praxisgemäss Ausführungen zur Zulässigkeit, Zumutbarkeit und Möglichkeit des Wegweisungsvollzugs.</w:t>
      </w:r>
    </w:p>
    <w:p>
      <w:r>
        <w:rPr>
          <w:b/>
        </w:rPr>
        <w:t>E. 7.1</w:t>
      </w:r>
    </w:p>
    <w:p>
      <w:r>
        <w:t>Die gestellten Begehren erweisen sich als aussichtslos, weshalb die Gesuche um unentgeltliche Rechtspflege und Beiordnung eines Rechtsbeiständes ungeachtet einer allfälligen prozessualen Bedürftigkeit abzuweisen sind (Art. 65 Abs. 1 VwVG und Art. 110a Abs. 1 Bst. a AsylG).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