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E-2107/2013 vom 19. April 2013</w:t>
      </w:r>
    </w:p>
    <w:p>
      <w:r>
        <w:t>Bundesverwaltungsgericht, 2013-04-19, DE</w:t>
      </w:r>
    </w:p>
    <w:p>
      <w:r>
        <w:rPr>
          <w:b/>
        </w:rPr>
        <w:t xml:space="preserve">Quelle: </w:t>
      </w:r>
      <w:r>
        <w:t>https://mcp.opencaselaw.ch/entscheid/bvger_E-2107_2013</w:t>
      </w:r>
    </w:p>
    <w:p>
      <w:r>
        <w:t>FR: TAF E-2107/2013 du 19 avril 2013</w:t>
      </w:r>
    </w:p>
    <w:p>
      <w:r>
        <w:t>IT: TAF E-2107/2013 del 19 aprile 2013</w:t>
      </w:r>
    </w:p>
    <w:p>
      <w:pPr>
        <w:pStyle w:val="Heading2"/>
      </w:pPr>
      <w:r>
        <w:t>Regeste</w:t>
      </w:r>
    </w:p>
    <w:p>
      <w:r>
        <w:t>Nichteintreten auf Asylgesuch und Wegweisung (Dublin-Verfahren)</w:t>
      </w:r>
    </w:p>
    <w:p>
      <w:pPr>
        <w:pStyle w:val="Heading2"/>
      </w:pPr>
      <w:r>
        <w:t>Erwägungen</w:t>
      </w:r>
    </w:p>
    <w:p>
      <w:r>
        <w:rPr>
          <w:b/>
        </w:rPr>
        <w:t>E. 1</w:t>
      </w:r>
    </w:p>
    <w:p>
      <w:r>
        <w:t>1.1 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des Asylgesetzes vom 26. Juni 1998 [AsylG, SR 142.31]). Die Beschwerdeführenden sind als Verfügungsadressaten zur Beschwerdeführung legitimiert (Art. 48 VwVG).</w:t>
      </w:r>
    </w:p>
    <w:p>
      <w:r>
        <w:rPr>
          <w:b/>
        </w:rPr>
        <w:t>E. 1.2</w:t>
      </w:r>
    </w:p>
    <w:p>
      <w:r>
        <w:t>Auf die frist- und formgerecht eingereichte Beschwerde (Art. 108 Abs. 2 AsylG und Art. 52 VwVG) ist vorbehältlich der nachstehenden Erwägungen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w:t>
      </w:r>
    </w:p>
    <w:p>
      <w:r>
        <w:rPr>
          <w:b/>
        </w:rPr>
        <w:t>E. 3</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4.1</w:t>
      </w:r>
    </w:p>
    <w:p>
      <w:r>
        <w:t>Das Bundesamt erwog in der angefochtenen Verfügung, der Beschwerdeführer A._______ (Vater) habe bei der Befragung zur Person (BzP) angegeben, er sei mit seinen Kindern unter Verwendung gefälschter Pässe im Februar 2013 von Syrien über Algerien nach Rom geflogen. Dort seien ihnen die Fingerabdrücke abgenommen worden; um Asyl hätten sie nicht nachgesucht. Ein Abgleich mit EURODAC habe jedoch ergeben, dass sie entgegen ihren Angaben am 8. Februar 2013 in Italien Asylgesuche gestellt hätten. Die italienischen Behörden hätten das Ersuchen des BFM um Übernahme der Beschwerdeführenden gestützt auf Art. 16 Abs. 1 Bst. c der Verordnung (EG) Nr. 343/2003 des Rates vom 18. Februar 2003 zur Festlegung der Kriterien und Verfahren zur Bestimmung des Mitgliedstaates, der für die Prüfung eines von einem Drittstaatsangehörigen in einem Mitgliedstaat gestellten Asylantrags zuständig ist (Dublin II-VO), gutgeheissen. Somit liege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die Zuständigkeit zur Durchführung des Asyl- und Wegweisungsverfahrens bei Italien.</w:t>
      </w:r>
    </w:p>
    <w:p>
      <w:r>
        <w:rPr>
          <w:b/>
        </w:rPr>
        <w:t>E. 4.2</w:t>
      </w:r>
    </w:p>
    <w:p>
      <w:r>
        <w:t>In der Rechtsmitteleingabe wird nach einer Rekapitulation des Sachverhalts und der Prozessgeschichte ausgeführt, das BFM wende Art. 34 Abs. 2 Bst. d AsylG an. Die Abschiebung in einen anderen EU-Staat verstosse jedoch dann gegen das Flüchtlingsrecht und Art. 3 der Konvention vom 4. November 1950 zum Schutze der Menschenrechte und Grundfrei-heiten (EMRK, SR 0.101), wenn in dem als zuständig erachteten Staat das Rückschiebeverbot sowie die Rechte und der Rechtsschutz von Flüchtlingen missachtet würden und das Verbot unmenschlicher Behandlung verletzt werde. Bezüglich Italien sei festzustellen, dass dessen Aufnahmesystem völlig überlastet sei. Die schutzberechtigten Asylsuchenden seien in der Regel sich selbst überlassen; sie seien jeden Tag mit der Suche nach kostenlosem Essen, Kleidern und Angeboten von Hygieneartikeln sowie einer unentgeltlichen Schlafgelegenheit beschäftigt. Vorliegend gehe es um einen Beschwerdeführer mit minderjährigen Kindern. Das Mindestschutzniveau des Europäischen Flüchtlingsrechts wäre im Falle einer Rückkehr nach Italien nicht gegeben, weshalb das BFM die Pflicht zum Selbsteintritt habe. Auch drohe eine Kettenabschiebung. Das Bundesamt habe deshalb die Zuständigkeit der Schweiz zur materiellen Prüfung der Asylgesuche zu bejahen und die Flüchtlingseigenschaft sowie Wegweisungshindernisse festzustellen.</w:t>
      </w:r>
    </w:p>
    <w:p>
      <w:r>
        <w:rPr>
          <w:b/>
        </w:rPr>
        <w:t>E. 5.1</w:t>
      </w:r>
    </w:p>
    <w:p>
      <w:r>
        <w:t>Mit der Umsetzung des Dublin-Assoziierungsabkommen verpflichtet sich die Schweiz, die Dublin II-VO anzuwenden. Diese enthält die Kriteri-en, um denjenigen Dublin-Staat zu bestimmen, der zuständig ist, ein Asyl- und Wegweisungsverfahren durchzuführen.</w:t>
      </w:r>
    </w:p>
    <w:p>
      <w:r>
        <w:rPr>
          <w:b/>
        </w:rPr>
        <w:t>E. 5.2</w:t>
      </w:r>
    </w:p>
    <w:p>
      <w:r>
        <w:t>Nach Art. 3 Abs. 2 Dublin 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EMRK und Art. 3 des Übereinkommens vom 10. Dezember 1984 gegen Folter und andere grausame, unmenschliche oder erniedrigende Behandlung oder Strafe (FoK, SR 0.105). 6.Entgegen der Ansicht der Beschwerdeführenden, die entgegen ihren Ausführungen gemäss den Akten in Italien um Asyl nachgesucht haben, bestehen keine konkreten Hinweise dafür, dass dieses Land sich nicht an die internationalen Verpflichtungen hält. Italien ist Signatarstaat der FK, EMRK und FoK (sowie des Übereinkommens vom 20. November 1989 über die Rechte des Kindes [SR 0.107]) .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versus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Vorliegend ist weder das eine noch das andere anzunehmen, und daran vermögen auch die mit der Beschwerde eingereichten Berichte zur Situation in Italien nichts zu ändern. Insbesondere besteht auch kein Anlass zur Vermutung, die italienischen Behörden planten eine Kettenabschiebung, wie das in der Rechtsmitteleingabe vorgebracht wird. Was die Kinder des Beschwerdeführers A._______ anbelangt, so ist anzumerken diese fast (...), (...) und (...) Jahre alt sind; es handelt sich also nicht um besonders verletzliche Kleinkinder. Das Vorbringen in der Beschwerde, man habe in einem Aufnahmelager versucht, den Sohn D._______ in einem Asylaufnahmezentrum sexuell zu missbrauchen, findet in den Akten mit Ausnahme der anlässlich der BzP gemachten Ausführungen keine Stützung, und es erstaunt, dass der akademisch ausgebildete Vater diesen angeblichen Vorfall einzig einem Dolmetscher gemeldet haben will. Vor dem Hintergrund des vorstehend Ausgeführten ist auch die Begründungsdichte der Vorinstanz im angefochtenen Entscheid nicht zu rügen. Die Vorinstanz ist zutreffend von der Zuständigkeit Italiens ausgegangen und in Anwendung von Art. 34 Abs. 2 Bst. d AsylG zu Recht auf die Asylgesuche nicht eingetreten.</w:t>
      </w:r>
    </w:p>
    <w:p>
      <w:r>
        <w:rPr>
          <w:b/>
        </w:rPr>
        <w:t>E. 7.1</w:t>
      </w:r>
    </w:p>
    <w:p>
      <w:r>
        <w:t>Gemäss Art. 44 Abs. 1 AsylG verfügt das Bundesamt, wenn es das Asylgesuch ablehnt oder darauf nicht eintritt, in der Regel die Wegweisung aus der Schweiz und ordnet den Vollzug an. Da die Beschwerdeführenden weder über eine ausländerrechtliche Aufenthaltsbewilligung noch über einen Anspruch auf Erteilung einer solchen verfügen (vgl. BVGE 2009/50 E. 9), ist die Anordnung der Wegweisung nicht zu beanstanden.</w:t>
      </w:r>
    </w:p>
    <w:p>
      <w:r>
        <w:rPr>
          <w:b/>
        </w:rPr>
        <w:t>E. 7.2</w:t>
      </w:r>
    </w:p>
    <w:p>
      <w:r>
        <w:t>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in diesem Sinne den Vollzug der Wegwei­sung nach Italien zu Recht als zulässig, zumutbar und möglich bezeichnet.</w:t>
      </w:r>
    </w:p>
    <w:p>
      <w:r>
        <w:rPr>
          <w:b/>
        </w:rPr>
        <w:t>E. 8</w:t>
      </w:r>
    </w:p>
    <w:p>
      <w:r>
        <w:t>Nach dem Gesagten ergibt sich, dass die angefochtene Verfügung Bundesrecht nicht verletzt und auch sonst nicht zu beanstanden ist (Art. 106 Abs. 1 AsylG). Die Beschwerde ist abzuweisen. Mit dem Entscheid in der Hauptsache wird der Antrag auf Erteilung der aufschiebenden Wirkung (der Beschwerde) und auf Anweisung an die Behörden, von Vollzugsmassnahmen abzusehen, sowie auf Verzicht auf die Erhebung eines Kostenvorschusses hinfällig.</w:t>
      </w:r>
    </w:p>
    <w:p>
      <w:r>
        <w:rPr>
          <w:b/>
        </w:rPr>
        <w:t>E. 9</w:t>
      </w:r>
    </w:p>
    <w:p>
      <w:r>
        <w:t>Bei diesem Ausgang des Verfahrens sind die Kosten von Fr. 600.- (Art. 1-3 des Reglements vom 21. Februar 2008 über die Kosten und Entschädigungen vor dem Bundesverwaltungsgericht [VGKE], SR 173.320.2) den Beschwerdeführenden aufzuerlegen (Art. 63 Abs. 1 VwVG). Das Gesuch um Gewährung der unentgeltlichen Rechtspflege (Art. 65 Abs. 1 VwVG) ist infolge Aussichtslosigkeit der gestellten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