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E-2105/2014 vom 10. September 2014</w:t>
      </w:r>
    </w:p>
    <w:p>
      <w:r>
        <w:t>Bundesverwaltungsgericht, 2014-09-10, FR</w:t>
      </w:r>
    </w:p>
    <w:p>
      <w:r>
        <w:rPr>
          <w:b/>
        </w:rPr>
        <w:t xml:space="preserve">Quelle: </w:t>
      </w:r>
      <w:r>
        <w:t>https://mcp.opencaselaw.ch/entscheid/bvger_E-2105_2014</w:t>
      </w:r>
    </w:p>
    <w:p>
      <w:r>
        <w:t>FR: TAF E-2105/2014 du 10 septembre 2014</w:t>
      </w:r>
    </w:p>
    <w:p>
      <w:r>
        <w:t>IT: TAF E-2105/2014 del 10 settembre 2014</w:t>
      </w:r>
    </w:p>
    <w:p>
      <w:pPr>
        <w:pStyle w:val="Heading2"/>
      </w:pPr>
      <w:r>
        <w:t>Regeste</w:t>
      </w:r>
    </w:p>
    <w:p>
      <w:r>
        <w:t>Asile (non-entrée en matière / Etat tiers sûr)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partielle est admise.</w:t>
      </w:r>
    </w:p>
    <w:p>
      <w:r>
        <w:rPr>
          <w:b/>
        </w:rPr>
        <w:t>E. 3</w:t>
      </w:r>
    </w:p>
    <w:p>
      <w:r>
        <w:t>Il n'est pas perçu de frais.</w:t>
      </w:r>
    </w:p>
    <w:p>
      <w:r>
        <w:rPr>
          <w:b/>
        </w:rPr>
        <w:t>E. 4</w:t>
      </w:r>
    </w:p>
    <w:p>
      <w:r>
        <w:t>Le présent arrêt est adressé aux recourants, à l'ODM et à l'autorité cantonale. Le président du collège : La greffière : William Waeber Isabelle Fournier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