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E-2104/2022 vom 8. April 2022</w:t>
      </w:r>
    </w:p>
    <w:p>
      <w:r>
        <w:t>Bundesverwaltungsgericht, 2022-04-08, DE</w:t>
      </w:r>
    </w:p>
    <w:p>
      <w:r>
        <w:rPr>
          <w:b/>
        </w:rPr>
        <w:t xml:space="preserve">Quelle: </w:t>
      </w:r>
      <w:r>
        <w:t>https://mcp.opencaselaw.ch/entscheid/bvger_E-2104_2022_d20220408</w:t>
      </w:r>
    </w:p>
    <w:p>
      <w:r>
        <w:t>FR: TAF E-2104/2022 du 8 avril 2022</w:t>
      </w:r>
    </w:p>
    <w:p>
      <w:r>
        <w:t>IT: TAF E-2104/2022 del 8 aprile 2022</w:t>
      </w:r>
    </w:p>
    <w:p>
      <w:pPr>
        <w:pStyle w:val="Heading2"/>
      </w:pPr>
      <w:r>
        <w:t>Regeste</w:t>
      </w:r>
    </w:p>
    <w:p>
      <w:r>
        <w:t>Datenschutz | Datenschutz; Verfügung des SEM vom 8.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sofern das VGG nichts anderes bestimmt (Art. 37 VGG).</w:t>
      </w:r>
    </w:p>
    <w:p>
      <w:r>
        <w:t>E-2104/2022 Seite 7</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48 Abs. 1, Art. 50 Abs. 1 sowie Art. 52 Abs. 1 VwVG). Auf die Beschwerde ist einzutreten.</w:t>
      </w:r>
    </w:p>
    <w:p>
      <w:r>
        <w:rPr>
          <w:b/>
        </w:rPr>
        <w:t>E. 2</w:t>
      </w:r>
    </w:p>
    <w:p>
      <w:r>
        <w:t>Das Bundesverwaltungsgericht entscheidet grundsätzlich mit uneinge- schränkter Kognition. Es überprüft die angefochtene Verfügung auf Rechts- verletzungen – einschliesslich unrichtiger oder unvollständiger Feststellung des rechtserheblichen Sachverhalts und Rechtsfehler bei der Ermes- sensausübung – sowie auf Angemessenheit hin (Art. 37 VGG i.V.m. Art. 49 VwVG). Es wendet das Recht von Amtes wegen an und ist nicht an die Anträge oder die rechtliche Begründung der Parteien gebunden (Art. 37 VGG i.V.m.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Bundesgesetz vom 19. Juni 1992 über den Datenschutz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Urteile des BVGer E- 47/2022 vom 17. März 2022 E. 4.2; A-7615/2016 vom 30. Januar 2018 E. 3.2, m.w.H.). Die ZEMIS-Verordnung sieht in Art. 19 Abs. 3 ausdrücklich vor, dass unrichtige Daten von Amtes wegen zu berichtigen sind.</w:t>
      </w:r>
    </w:p>
    <w:p>
      <w:r>
        <w:t>E-2104/2022 Seite 8</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Urteil des BVGer A-4225/2021 vom 22. März 2022 E. 3.3).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jedoch gemäss Art. 13 Abs. 1 Bst. a VwVG verpflichtet, an dessen Feststellung mitzuwir- ken (zum Ganzen BVGE 2018 VI/3 E. 3.3; Urteile des BVGer A-4225/2021 E. 3.3; A-7588/2015 vom 26. Februar 2016 E. 3.3 und A-7822/2015 vom 25. Februar 2016 E. 3.3).</w:t>
      </w:r>
    </w:p>
    <w:p>
      <w:r>
        <w:rPr>
          <w:b/>
        </w:rPr>
        <w:t>E. 3.4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Namen und Geburtsdaten. In solchen Fällen überwiegt das öffent- 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 stritten ist. Spricht dabei mehr für die Richtigkeit der neuen Daten, sind die bisherigen Angaben zunächst zu berichtigen und die neuen Daten an- schliessend mit einem derartigen Vermerk zu versehen. Ob die vormals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 zen BVGE 2018 VI/3 E. 3; Urteile des BVGer A-4225/2021 E. 3.5; A-3051/2018 vom 12. März 2019 E. 5.4). Entgegen dem Vorbringen des</w:t>
      </w:r>
    </w:p>
    <w:p>
      <w:r>
        <w:t>E-2104/2022 Seite 9 Beschwerdeführers gilt im Datenschutzrecht entsprechend auch keine Be- weisregel, wonach im Zweifelsfall von der Minderjährigkeit auszugehen wäre (Urteil des BGer 1C_710/2017 vom 12. Februar 2019 E. 2.4).</w:t>
      </w:r>
    </w:p>
    <w:p>
      <w:r>
        <w:rPr>
          <w:b/>
        </w:rPr>
        <w:t>E. 4</w:t>
      </w:r>
    </w:p>
    <w:p>
      <w:r>
        <w:t>Nach dem Gesagten obliegt es demnach vorliegend grundsätzlich dem SEM zu beweisen, dass das aktuell im ZEMIS eingetragene Geburtsdatum ([…] 1999) korrekt ist. Der Beschwerdeführer wiederum hat nachzuweisen, dass das von ihm im Datenänderungsgesuch geltend gemachte ([…] 2005) richtig beziehungsweise zumindest wahrscheinlicher ist als das im ZEMIS erfasste, ihm mithin eine höhere Glaubwürdigkeit zukommt als dem bishe- rigen Eintrag (vgl. Urteil des BVGer A-3051/2018 vom 12. März 2019 E. 5.5). Gelingt keiner Partei der sichere Nachweis, ist dasjenige Geburts- datum im ZEMIS zu belassen oder einzutragen, dessen Richtigkeit wahr- scheinlicher ist.</w:t>
      </w:r>
    </w:p>
    <w:p>
      <w:r>
        <w:rPr>
          <w:b/>
        </w:rPr>
        <w:t>E. 5.1</w:t>
      </w:r>
    </w:p>
    <w:p>
      <w:r>
        <w:t>Der Beschwerdeführer rügt in formeller Hinsicht eine Verletzung des Untersuchungsgrundsatzes, da der Gutachter des Altersgutachtens zum Zwischenergebnis gekommen sei, die zahnärztlichen Befunde seien nicht sicher beurteilbar. Des Weiteren werde im Gutachten nie von einer ab- schliessenden Altersfestlegung, sondern stets von einer Altersschätzung gesprochen. Daher sei die Vorinstanz anzuweisen, das Altersgutachten vertiefter zu überprüfen. Hierfür würden die einzelnen Befunde samt Rönt- genbildern durch einen Facharzt beurteilt werden müssen. Diese verfah- rensrechtliche Rüge ist vorab zu prüfen, da sie allenfalls geeignet ist, eine Kassation der angefochtenen Verfügung zu bewirken.</w:t>
      </w:r>
    </w:p>
    <w:p>
      <w:r>
        <w:rPr>
          <w:b/>
        </w:rPr>
        <w:t>E. 5.2</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Dazu gehört, an der Feststellung des Sachverhaltes mitzuwirken und in der Anhörung die Asylgründe darzulegen, allfällige Beweismittel vollständig zu bezeichnen und unverzüglich einzureichen sowie bei der Erhebung der bi- ometrischen Daten mitzuwirken (vgl. BVGE 2011/28 E. 3.4). Die unrichtige oder unvollständige Feststellung des rechtserheblichen Sachverhalts in Verletzung der behördlichen Untersuchungspflicht bildet einen Beschwerdegrund (Art. 106 Abs. 1 Bst. b AsylG). Unrichtig ist die</w:t>
      </w:r>
    </w:p>
    <w:p>
      <w:r>
        <w:t>E-2104/2022 Seite 10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5.3</w:t>
      </w:r>
    </w:p>
    <w:p>
      <w:r>
        <w:t>Die Vorinstanz hielt zur Begründung der angefochtenen Verfügung un- ter Verweis auf die Vernehmlassung im Verfahren E-4210/2021 vom 22. November 2021 im Wesentlichen fest, der Beschwerdeführer habe gel- tend gemacht, er sei noch minderjährig, diese Minderjährigkeit habe er aber nicht glaubhaft zu machen vermocht. Da er nicht genügend aussage- kräftige Angaben zum eigenen Alter habe machen können, habe sie, die Vorinstanz, das Institut für Rechtsmedizin der Universität Basel (IRM) be- auftragt, ein Altersgutachten zu erstellen. Dieses habe aufgezeigt, dass beim Beschwerdeführer von einem Mindestalter auszugehen sei, welches bei 2(…) Jahren liege. Das in Bulgarien registrierte Geburtsdatum ([…] 1999) sei mit diesem Befund vereinbar. Die eingereichte Tazkira sowie der Impfausweis seien im Übrigen keine fälschungssicheren Dokumente und seien im afghanischen Kontext auch käuflich erwerbbar, weswegen diesen Dokumenten kein Beweiswert zukomme. So erscheine das derzeit im ZEMIS erfasste Geburtsdatum, welches so- wohl mit den Erkenntnissen aus dem erwähnten Altersgutachten als auch mit dem in Bulgarien registrierten Geburtsdatum einhergehe, in einer Ge- samtschau wahrscheinlicher als das vom Beschwerdeführer angegebene Alter. Es sei zwar dazu keine unumstössliche Gewissheit erforderlich, vor- liegend sprächen aber, mit Verweis auf die gemachten Ausführungen, ge- wichtige Sachverhaltselemente gegen die Darstellung des Beschwerde- führers. An dieser Einschätzung ändere auch die E-Mail vom 4. November 2021 von der Projektleiterin des Projektes «(…)» nichts.</w:t>
      </w:r>
    </w:p>
    <w:p>
      <w:r>
        <w:rPr>
          <w:b/>
        </w:rPr>
        <w:t>E. 5.4</w:t>
      </w:r>
    </w:p>
    <w:p>
      <w:r>
        <w:t>Das Gericht hält zusammenfassend fest, dass die Vorinstanz das Ge- burtsdatum aufgrund des Altersgutachtens, der eingereichten Tazkira und des registrierten Geburtsdatums in Bulgarien feststellte. Es ist folglich zu prüfen, ob ein liquider Sachverhalt vorliegt.</w:t>
      </w:r>
    </w:p>
    <w:p>
      <w:r>
        <w:t>E-2104/2022 Seite 11</w:t>
      </w:r>
    </w:p>
    <w:p>
      <w:r>
        <w:rPr>
          <w:b/>
        </w:rPr>
        <w:t>E. 5.5.1</w:t>
      </w:r>
    </w:p>
    <w:p>
      <w:r>
        <w:t>Hierfür ist der Beweiswert des Altersgutachtens zu untersuchen. Ge- mäss Rechtsprechung des Bundesverwaltungsgerichts (vgl. BVGE 2018/VI/3 E. 4.2) stellen die in der Schweiz angewendeten Methoden der medizinischen Altersabklärungen je nach Ergebnis unterschiedlich zu ge- wichtende Indizien für das Vorliegen der Minder- respektive der Volljährig- keit einer Person dar. Die Schlüsselbein- respektive Skelettaltersanalyse und die zahnärztliche Untersuchung sind dabei grundsätzlich, anders als die Handknochenanalyse und die ärztliche Untersuchung, zum Beweis der Minder- respektive Volljährigkeit einer Person geeignet.</w:t>
      </w:r>
    </w:p>
    <w:p>
      <w:r>
        <w:rPr>
          <w:b/>
        </w:rPr>
        <w:t>E. 5.5.2</w:t>
      </w:r>
    </w:p>
    <w:p>
      <w:r>
        <w:t>Ein sehr starkes Indiz für die Volljährigkeit liegt vor, wenn das Min- destalter bei der Schlüsselbein- respektive Skelettaltersanalyse und der zahnärztlichen Untersuchung über 18 Jahren liegt. Liegt das Mindestalter bei der Schlüsselbein- respektive Skelettaltersanalyse oder der zahnärztli- chen Untersuchung über 18 Jahren und überlappen sich die anhand der beiden Analysen ergebenden Altersspannen ist dies ein starkes Indiz für die Volljährigkeit. Lediglich ein schwaches Indiz für die Volljährigkeit liegt vor, wenn das Mindestalter bei der Schlüsselbein- respektive Skelettalters- analyse oder der zahnärztlichen Untersuchung über 18 Jahren und die sich anhand der beiden Analysen ergebenden Altersspannen nicht überlappen, wobei es dafür eine plausible medizinische Erklärung gibt. Ein sehr schwa- ches oder gar fragliches Indiz für die Volljährigkeit ist gegeben, wenn das Mindestalter bei der Schlüsselbein- respektive Skelettaltersanalyse oder der zahnärztlichen Untersuchung unter 18 Jahren liegt und die sich anhand der beiden Analysen ergebenden Altersspannen nicht überlappen, ohne dass es dafür eine plausible medizinische Erklärung gibt. Wenn das Min- destalter bei der Schlüsselbein- respektive Skelettaltersanalyse und der zahnärztlichen Untersuchung unter 18 Jahren liegt, lässt sich – ähnlich wie bei der Handknochenaltersanalyse – anhand der medizinischen Altersab- klärung keine Aussage zur Minder- respektive Volljährigkeit einer Person machen (selbst wenn das Maximalalter bei beiden oder einer Methode dar- über liegt). Die radiographische Untersuchung des Handknochens kann zum Nachweis des Alters im Übrigen nur dann herangezogen werden, wenn die Abweichung zwischen dem festgestellten Knochenalter und dem behaupteten Alter drei Jahre übersteigt (vgl. Urteil des BVGer A-1455/2020 vom 13. Oktober 2020 E. 6.1). Insgesamt kommt es umso weniger auf die Gesamtwürdigung der Beweise an, je stärker die medizinischen Abklärungen ein Indiz für das Vorliegen der Volljährigkeit darstellen respektive bleibt bei eindeutigen Ergebnissen</w:t>
      </w:r>
    </w:p>
    <w:p>
      <w:r>
        <w:t>E-2104/2022 Seite 12 der Altersabklärung nur wenig Raum für die Beweiswürdigung (vgl. BVGE 2018 VI/3 E. 4.2.2 f. m.w.H.; ebenso BVGE 2019 I/6 E. 6.1 ff.).</w:t>
      </w:r>
    </w:p>
    <w:p>
      <w:r>
        <w:rPr>
          <w:b/>
        </w:rPr>
        <w:t>E. 5.5.3</w:t>
      </w:r>
    </w:p>
    <w:p>
      <w:r>
        <w:t>Das von der Vorinstanz in Auftrag gegebene rechtsmedizinische Al- tersgutachten vom 15. April 2021 kommt zum Schluss, dass der Beschwer- deführer ein Mindestalter von 2(…) Jahren aufweise. Beim Beschwerde- führer könne aufgrund des vollständigen Abschlusses des Wachstums hin- sichtlich der kinderradiologischen Untersuchung der Schlüsselbein-Brust- bein-Gelenke lediglich ein Mindestalter angegeben werden, welches ge- mäss Gutachten durchgeführte Schlüsselbeinanalyse ein Mindestalter von 2(…) Jahren ergebe. Bei der zahnärztlichen Untersuchung sei bei den Zäh- nen eins bis sieben im 3. Quadranten ein vollständig abgeschlossenes Wurzelwachstum festgestellt worden, was gemäss einschlägiger Fachlite- ratur ab einem Alter von 16 Jahren zur Beobachtung komme, wobei es sich dabei nur um einen Mittelwert und nicht um ein Minimum handle. Die Weis- heitszähne würden laut Gutachten ein Mineralisationsstadium zwischen C und F aufweisen, was eine grosse Differenz darstelle. Der Unterkiefer sei nicht sicher beurteilbar. Für das Stadium F gebe es gemäss Gutachten keine beobachteten Extremwerte, der Mittelwert liege bei 1(…) +/- 2.0 Jah- ren. Gemäss Gutachten sei von einem Mindestalter von 2(…) Jahren aus- zugehen und somit sei das vom Beschwerdeführer angegebene Lebensal- ter von 1(…) Jahren und (…) Monaten mit den erhobenen Befunden nicht zu vereinbaren (vgl. SEM-Akten A37).</w:t>
      </w:r>
    </w:p>
    <w:p>
      <w:r>
        <w:rPr>
          <w:b/>
        </w:rPr>
        <w:t>E. 5.5.4</w:t>
      </w:r>
    </w:p>
    <w:p>
      <w:r>
        <w:t>Was den Beweiswert des vorliegenden Gutachtens betrifft, ist festzu- stellen, dass im Zeitpunkt der medizinischen Abklärung (9. April 2021) auf- grund der zahnärztlichen Untersuchung ein Mittelwert von 1(…) Jahren hin- sichtlich der Zähne 1 bis 7 im 3. Quadranten und einen solchen von 1(…) Jahren +/- 2.0 Jahren hinsichtlich der Weisheitszähne festgestellt worden ist. Aus der Schlüsselbein- respektive Skelettaltersanalyse resultierte ein Mindestalter von 2(…) Jahren. Eine Überlappung von sich ergebenden Al- tersspannen ist nicht erkennbar, ebenso wenig eine plausible medizinische Erklärung, so dass es sich beim vorliegenden Altersgutachten gemäss der obenerwähnten bundesverwaltungsgerichtlichen Rechtsprechung um ein sehr schwaches oder gar fragliches Indiz für die Volljährigkeit handelt.</w:t>
      </w:r>
    </w:p>
    <w:p>
      <w:r>
        <w:rPr>
          <w:b/>
        </w:rPr>
        <w:t>E. 5.6</w:t>
      </w:r>
    </w:p>
    <w:p>
      <w:r>
        <w:t>Zum registrierten Geburtsdatum in Bulgarien führte die Vorinstanz in der angefochtenen Verfügung aus, es sei mit dem im Altersgutachten an- gegebenen Mindestalter von damals 2(…) Jahren zu vereinbaren, wes- halb das im ZEMIS registrierte Geburtsdatum als wahrscheinlicher erach- tet werde, als das vom Beschwerdeführer angegebene. Das Gericht hält</w:t>
      </w:r>
    </w:p>
    <w:p>
      <w:r>
        <w:t>E-2104/2022 Seite 13 dem entgegen, dass aufgrund des zum Beweiswert des Altersgutachtens Gesagten (vgl. oben) die Übereinstimmung des darin ausgewiesenen Mindestalters mit dem in Bulgarien registrierten Geburtsdatum jedoch ebenfalls nur ein sehr schwaches oder gar fragliches Indiz für die Volljäh- rigkeit darstellen kann.</w:t>
      </w:r>
    </w:p>
    <w:p>
      <w:r>
        <w:rPr>
          <w:b/>
        </w:rPr>
        <w:t>E. 5.7</w:t>
      </w:r>
    </w:p>
    <w:p>
      <w:r>
        <w:t>Die im Original eingereichte Tazkira, welche die Vorinstanz amtsintern übersetzen liess, weist keine offensichtlichen Fälschungsmerkmale auf. Jedoch ist hervorzuheben, dass es sich bei einer solchen nicht um ein rechtsgenügliches Dokument handelt, welche die geltend gemachte Min- derjährigkeit abschliessend zu belegen respektive die dargelegten Un- glaubhaftigkeitselemente aufzuwiegen vermag, zumal Tazkiras über keine Sicherheitsmerkmale verfügen und leicht fälschbar sind (vgl. BVGE 2019 I/6 E. 6.2, BVGE 2013/30, E. 4.2.2).</w:t>
      </w:r>
    </w:p>
    <w:p>
      <w:r>
        <w:rPr>
          <w:b/>
        </w:rPr>
        <w:t>E. 5.8</w:t>
      </w:r>
    </w:p>
    <w:p>
      <w:r>
        <w:t>Die Frage nach dem korrekten respektive überwiegend wahrscheinli- chen Geburtsdatum des Beschwerdeführers kann bei dieser unklaren Be- weislage nicht schlüssig beantwortet werden; die vorhandenen Indizien sprechen teils für, teils gegen das vom Beschwerdeführer behauptete Ge- burtsdatum. Bei dieser nicht eindeutigen Sachlage wäre die Vorinstanz auf- grund des Untersuchungsrundsatzes sowie der ihr obliegenden Pflicht, den Sachverhalt von Amtes wegen abzuklären, verpflichtet gewesen, weitere zumutbare, sachdienliche Abklärungen (beispielsweise Einholung eines weiteren Altersgutachtens) zu veranlassen, zumal nicht allein der Be- schwerdeführer beweispflichtig ist, sondern es grundsätzlich dem SEM ob- liegt, zu beweisen, dass das aktuell im ZEMIS eingetragene Geburtsdatum ([…]. 1999) korrekt ist.</w:t>
      </w:r>
    </w:p>
    <w:p>
      <w:r>
        <w:rPr>
          <w:b/>
        </w:rPr>
        <w:t>E. 5.9</w:t>
      </w:r>
    </w:p>
    <w:p>
      <w:r>
        <w:t>Aufgrund der vorstehenden Erwägungen ist im Ergebnis festzustellen, dass die Vorinstanz den rechtserheblichen Sachverhalt unvollständig fest- gestellt hat.</w:t>
      </w:r>
    </w:p>
    <w:p>
      <w:r>
        <w:rPr>
          <w:b/>
        </w:rPr>
        <w:t>E. 6</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 fahren durchzuführen ist. Entscheidungsreife kann zwar auch durch die Beschwerdeinstanz hergestellt werden, wenn dies im Einzelfall aus pro- zessökonomischen Gründen angebracht erscheint (vgl. BVGE 2012/21</w:t>
      </w:r>
    </w:p>
    <w:p>
      <w:r>
        <w:t>E-2104/2022 Seite 14 E. 5); sie kann und soll aber die Grundlagen des rechtserheblichen Sach- verhalts nicht gleichsam an Stelle der verfügenden Verwaltungsbehörde erheben, zumal die Partei bei diesem Vorgehen einer Instanz verlustig ginge. Vorliegend ist demnach eine Kassation angezeigt. Die angefochtene Verfügung ist aufzuheben und die Sache zur vollständigen Feststellung des Sachverhalts und Neubeurteilung an das SEM zurückzuweisen.</w:t>
      </w:r>
    </w:p>
    <w:p>
      <w:r>
        <w:rPr>
          <w:b/>
        </w:rPr>
        <w:t>E. 7</w:t>
      </w:r>
    </w:p>
    <w:p>
      <w:r>
        <w:t>Die Beschwerde ist somit im Eventualantrag gutzuheissen, soweit die Auf- hebung der vorinstanzlichen Verfügung vom 8. April 2022 beantragt wird. Die Sache ist zur vollständigen Feststellung des Sachverhalts und zur Neu- beurteilung im Sinne der Erwägungen an die Vorinstanz zurückzuweisen. Bei diesem Verfahrensausgang erübrigt es sich, auf die weiteren Anträge und Beschwerdevorbringen näher einzugehen.</w:t>
      </w:r>
    </w:p>
    <w:p>
      <w:r>
        <w:rPr>
          <w:b/>
        </w:rPr>
        <w:t>E. 8.1</w:t>
      </w:r>
    </w:p>
    <w:p>
      <w:r>
        <w:t>Bei diesem Ausgang des Verfahrens sind keine Kosten zu erheben (Art. 63 Abs. 1 und 2 VwVG). Die Gesuche um Gewährung der unentgelt- lichen Prozessführung und Verzicht auf die Erhebung eines Kostenvor- schusses sind gegenstandslos geworden.</w:t>
      </w:r>
    </w:p>
    <w:p>
      <w:r>
        <w:rPr>
          <w:b/>
        </w:rPr>
        <w:t>E. 8.2</w:t>
      </w:r>
    </w:p>
    <w:p>
      <w:r>
        <w:t>Gemäss Art. 64 Abs. 1 VwVG in Verbindung mit Art. 37 VGG kann der obsiegenden Partei von Amtes wegen oder auf Begehren eine Entschädi- gung für die ihr erwachsenen notwendigen und verhältnismässig hohen Kosten zugesprochen werden (vgl. für die Grundsätze der Bemessung der Parteientschädigung ausserdem Art. 7 ff. des Reglements über die Kosten und Entschädigungen vor dem Bundesverwaltungsgericht vom 21. Feb- ruar 2008 [VGKE, SR 173.320.2]). Seitens der Rechtsvertreterin des Be- schwerdeführers wurde keine Kostennote eingereicht. Auf die Nachforde- rung einer solchen wird indessen verzichtet (vgl. Art. 14 Abs. 2 VGKE). Ge- stützt auf die in Betracht zu ziehenden Bemessungsfaktoren (Art. 9–13 VGKE) sind dem Beschwerdeführer Fr. 840.– als Parteientschädigung zu- zusprechen. Dieser Betrag ist durch die Vorinstanz zu entrichten.</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E-2104/2022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