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E-2104/2013 vom 15. September 2014</w:t>
      </w:r>
    </w:p>
    <w:p>
      <w:r>
        <w:t>Bundesverwaltungsgericht, 2014-09-15, DE</w:t>
      </w:r>
    </w:p>
    <w:p>
      <w:r>
        <w:rPr>
          <w:b/>
        </w:rPr>
        <w:t xml:space="preserve">Quelle: </w:t>
      </w:r>
      <w:r>
        <w:t>https://mcp.opencaselaw.ch/entscheid/bvger_E-2104_2013</w:t>
      </w:r>
    </w:p>
    <w:p>
      <w:r>
        <w:t>FR: TAF E-2104/2013 du 15 septembre 2014</w:t>
      </w:r>
    </w:p>
    <w:p>
      <w:r>
        <w:t>IT: TAF E-2104/2013 del 15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wird vorliegend auf einen Schriftenwechsel verzichtet.</w:t>
      </w:r>
    </w:p>
    <w:p>
      <w:r>
        <w:rPr>
          <w:b/>
        </w:rPr>
        <w:t>E. 4</w:t>
      </w:r>
    </w:p>
    <w:p>
      <w:r>
        <w:t>In der Beschwerdeschrift wird vorab in formeller Hinsicht die Verletzung der Begründungspflicht und die unvollständige und unrichtige Feststellung des Sachverhalts gerügt.</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sie, wenn nicht über alle rechtswesentlichen Sachumstände Beweis erhoben wurde. Dies ist häufig dann der Fall, wenn die Vorinstanz gleichzeitig den Anspruch auf rechtliches Gehör verletzte (vgl. Alfred Kölz/Isabelle Häner/Martin Berschi, Verwaltungsverfahren und Verwaltungsrechtspflege des Bundes, 3. Aufl., Zürich Basel Genf 2013, Rz. 1043). Das Bundesverwaltungsgericht kann den rechtserheblichen Sachverhalt, wie ihn die Vorinstanz festgestellt hat, uneingeschränkt überprüfen (Art. 106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E-3747/2014 vom 3. September 2014 E. 4.2).</w:t>
      </w:r>
    </w:p>
    <w:p>
      <w:r>
        <w:rPr>
          <w:b/>
        </w:rPr>
        <w:t>E. 5.2</w:t>
      </w:r>
    </w:p>
    <w:p>
      <w:r>
        <w:t>Der in Art. 29 Abs. 2 BV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6.1</w:t>
      </w:r>
    </w:p>
    <w:p>
      <w:r>
        <w:t>Vorliegend ist festzustellen, dass die Vorinstanz ihre Verfügung lediglich mit der fehlenden Glaubhaftigkeit der Vorbringen des Beschwerdeführers abgelehnt hat. Dabei verwies sie auf Unstimmigkeiten in den Aussagen des Beschwerdeführers und das Nachschieben eines zentralen Punktes in der Asylbegründung. Sie ist weder auf die vom Beschwerdeführer angeführten bereits in früheren Jahren erlebten persönlichen Schwierigkeiten mit den türkischen Behörden wegen Unterstützung der PKK - Gefängnisstrafe im Jahre 1987 und die seither erfolgten stundenweisen Festnahmen - eingegangen, noch hat sie sich zu dessen Geschwister, die sich wegen behördlichen Schwierigkeiten aus politischen Gründen im Ausland befinden würden und die ebenfalls ein Grund für häufige Festnahmen des Beschwerdeführers gewesen sein sollen, geäussert (vgl. A2 S. 6). Ferner soll ein Bruder des Beschwerdeführers wegen Mitgliedschaft bei der PKK im Jahre 1994 zu zwölf Jahren Gefängnis verurteilt worden sein, wozu sich die Vorinstanz mit keinem Wort hat vernehmen lassen. Aus den Akten kann auch nicht entnommen werden, wonach die Vorinstanz Abklärungen vorgenommen und die Verfahrensakten der zwei Geschwister, die im Jahre 2000 resp. 2004 in der Schweiz als Flüchtlinge anerkannt worden sind (N [...] und N [...]), beigezogen hätte. Schliesslich hat sich die Vorinstanz auch nicht zu den Vorbringen des Beschwerdeführers bezüglich G._______ (N [...]), der zusammen mit ihm an der Begräbnisfeier von D._______ mitgewirkt haben soll und der in der Folge festgenommen worden sei, später dann in die Schweiz geflüchtet war und hier - nach einem ersten Asylgesuch im Jahre 2000 - ein zweites Asylgesuch im Mai 2011 eingereicht hat, geäussert. Gemäss den in der Beschwerdeschrift eingereichten Unterlagen soll dieser nach einer Rückweisung nach Frankreich (Dublin-Verfahren) dort als Flüchtling anerkannt worden sein. Damit steht fest, dass sich die Vorinstanz in der angefochtenen Verfügung nicht mit allen wesentlichen Vorbringen des Beschwerdeführers befasst und damit ihre Begründungspflicht und den Anspruch auf rechtliches Gehör verletzt hat, wenngleich nicht in einer Weise, welche die sachgerechte Anfechtung verunmöglicht hätte. Zudem hat sie keine weiteren Abklärungen insbesondere hinsichtlich der Geschwister des Beschwerdeführers und G._______ vorgenommen, welche für den Ausgang des Entscheides durchaus relevant hätten sein können, und damit den Sachverhalt unvollständig festgestellt.</w:t>
      </w:r>
    </w:p>
    <w:p>
      <w:r>
        <w:rPr>
          <w:b/>
        </w:rPr>
        <w:t>E. 6.2</w:t>
      </w:r>
    </w:p>
    <w:p>
      <w:r>
        <w:t>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alt Art. 106 Abs. 1 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Christoph auer, a.a.O., E. 3.4.4 m.w.H.). Vorliegend sieht sich das Bundesverwaltungsgericht nicht veranlasst, eine Heilung der Gehörsverletzung vorzunehmen respektive den Sachverhalt an Stelle der Vorinstanz vollständig festzustellen, zumal dem Beschwerdeführer diesfalls eine Instanz verloren ginge. Im Übrigen ist die vorliegende Gehörsverletzung als erheblich zu bezeichnen, weshalb eine Heilung nicht angebracht ist.</w:t>
      </w:r>
    </w:p>
    <w:p>
      <w:r>
        <w:rPr>
          <w:b/>
        </w:rPr>
        <w:t>E. 6.3</w:t>
      </w:r>
    </w:p>
    <w:p>
      <w:r>
        <w:t>Nach dem Gesagten ist die Beschwerde im Sinne der Erwägungen gutzuheissen. Die angefochtene Verfügung ist aufzuheben,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7.1</w:t>
      </w:r>
    </w:p>
    <w:p>
      <w:r>
        <w:t>Bei diesem Ausgang des Verfahrens sind keine Kosten zu erheben (Art. 63 Abs. 1 und 2 VwVG). Der am 23. Mai 2013 geleistete Kostenvorschuss ist zurückzuerstatten.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(vgl. Art. 14 VGKE). Nachdem keine Kostennote zu den Akten eingereicht worden ist und sich der notwendige Vertretungsaufwand aufgrund der Aktenlage hinreichend zuverlässig abschätzen lässt, ist die von der Vorinstanz auszurichtende Parteientschädigung unter Berücksichtigung der massgebenden Berechnungsfaktoren (Art. 9-13 VGKE) von Amtes wegen auf Fr. 3'000.-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