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E-2097/2024 vom 17. April 2024</w:t>
      </w:r>
    </w:p>
    <w:p>
      <w:r>
        <w:t>Bundesverwaltungsgericht, 2024-04-17, DE</w:t>
      </w:r>
    </w:p>
    <w:p>
      <w:r>
        <w:rPr>
          <w:b/>
        </w:rPr>
        <w:t xml:space="preserve">Quelle: </w:t>
      </w:r>
      <w:r>
        <w:t>https://mcp.opencaselaw.ch/entscheid/bvger_E-2097_2024</w:t>
      </w:r>
    </w:p>
    <w:p>
      <w:r>
        <w:t>FR: TAF E-2097/2024 du 17 avril 2024</w:t>
      </w:r>
    </w:p>
    <w:p>
      <w:r>
        <w:t>IT: TAF E-2097/2024 del 17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E-2097/2024 Seite 5 Gestützt auf Art. 111a Abs. 1 AsylG wurde auf die Durchführung eines Schriftenwechsels verzichtet.</w:t>
      </w:r>
    </w:p>
    <w:p>
      <w:r>
        <w:rPr>
          <w:b/>
        </w:rPr>
        <w:t>E. 4</w:t>
      </w:r>
    </w:p>
    <w:p>
      <w:r>
        <w:t>Die Beschwerde richtet sich ausschliesslich gegen den Asylentscheid des SEM (Flüchtlingseigenschaft, Asyl, Wegweisung und Wegweisungsvoll- zug; Dispositivziffern 2-7 der angefochtenen Verfügung). Die Änderung des Geburtsdatums im ZEMIS (vgl. Dispositivziffer 1 der angefochtenen Verfü- gung) wird dagegen mit diesem Rechtsmittel nicht angefochten und ist demnach nicht Gegenstand des vorliegenden Verfahrens.</w:t>
      </w:r>
    </w:p>
    <w:p>
      <w:r>
        <w:rPr>
          <w:b/>
        </w:rPr>
        <w:t>E. 5.1</w:t>
      </w:r>
    </w:p>
    <w:p>
      <w:r>
        <w:t>Das SEM hat in der angefochtenen Verfügung überzeugend begründet, wieso es dem Beschwerdeführer nicht gelungen sei, seine Minderjährigkeit glaubhaft zu machen. Es kann auf die entsprechenden Erwägungen ver- wiesen werden. Als wesentlich im Rahmen einer Gesamtbetrachtung wird erachtet, dass der Beschwerdeführer keinerlei Identitätspapiere oder an- dere Dokumente abgegeben hat, aus denen sich auf sein Alter schliessen lässt. Sodann hat er keine substanziierten Angaben zu seinem Werdegang respektive Alter machen können. Die durchgeführte Altersbestimmung durch das Institut für Rechtsmedizin der (…) B._______ kam zum Schluss, dass sich beim Beschwerdeführer in einer Zusammenschau aller Untersu- chungsbefunde ein durchschnittliches Alter von 20.5 bis 28.7 Jahren er- gebe. Das festgestellte höchste Mindestalter der drei in Ansatz gebrachten Parameter (Zahnentwicklung, Handskelett und Schlüsselbein) liege bei 21.6 Jahren. Das von ihm angegebene Geburtsdatum (chronologisches Lebensalter 16 Jahre und 10 Monate) erscheine somit nicht möglich. Die Volljährigkeit sei bestätigt (vgl. SEM-Akten […]-20/6). In der Beschwerde vom 8. April 2024 wird in diesem Zusammenhang nichts ausgeführt. In der Stellungnahme zum rechtlichen Gehör vom 11. März 2024 sowie derjeni- gen zum Entscheidentwurf vom 28. März 2024 wurde zu den rechtsmedi- zinischen Feststellungen lediglich festgehalten, der Beschwerdeführer sei mit der Altersanpassung nicht einverstanden; er besitze keine Identitätspa- piere und könne mithin sein Alter nicht beweisen, er kenne aber sein Alter schon seit Langem und sei 16-jährig. Damit vermag er der Argumentation des SEM offenkundig nichts Stichhaltiges entgegenzusetzen. Bei dieser Aktenlage geht das Bundesverwaltungsgericht im vorliegenden Beschwer- deverfahren ebenfalls davon aus, dass es dem Beschwerdeführer nicht ge- lungen ist, die ursprünglich behauptete Minderjährigkeit glaubhaft zu ma- chen. Der Beschwerdeführer gilt somit für das vorliegende Verfahren als volljährig.</w:t>
      </w:r>
    </w:p>
    <w:p>
      <w:r>
        <w:t>E-2097/2024 Seite 6</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führte zur Begründung seines Asylentscheids aus, beim Vor- bringen des Beschwerdeführers, er habe in seinem Heimatstaat keine Fa- milienangehörigen, handle es sich um eine persönliche Lebenssituation, die flüchtlingsrechtlich nicht relevant sei. Soweit der Beschwerdeführer gel- tend mache, er fürchte sich, wegen der handgreiflichen Auseinanderset- zung und der darauffolgenden durch ihn erfolgten Angriffe angezeigt wor- den zu sein und ins Gefängnis zu kommen, sei festzuhalten, dass es sich bei den vom Beschwerdeführer begangenen Handlungen um (vorsätzlich begangene) Straftaten handle, die auch in der Schweiz strafrechtlich ge- ahndet würden. Sollte er in Algerien strafrechtlich verfolgt werden, würde es sich dabei um eine rechtsstaatlich legitime Massnahme handeln, die keine flüchtlingsrechtliche Relevanz entfalte. Insbesondere würden sich aus den Akten keinerlei Hinweise dafür ergeben, dass der Beschwerdefüh- rer im Falle einer Strafverfolgung einem Politmalus ausgesetzt wäre.</w:t>
      </w:r>
    </w:p>
    <w:p>
      <w:r>
        <w:rPr>
          <w:b/>
        </w:rPr>
        <w:t>E. 7.2</w:t>
      </w:r>
    </w:p>
    <w:p>
      <w:r>
        <w:t>In der Beschwerde wird dem entgegnet, dass der Beschwerdeführer bei einer Rückkehr nach Algerien verhaftet und eventuell umgebracht würde. Er fürchte sich auch vor einem Racheakt durch die Angreifer. Er habe keine Papiere, besitze in seinem Heimatstaat keine Familienangehö- rigen und habe unter den harten Lebensbedingungen gelitten.</w:t>
      </w:r>
    </w:p>
    <w:p>
      <w:r>
        <w:t>E-2097/2024 Seite 7</w:t>
      </w:r>
    </w:p>
    <w:p>
      <w:r>
        <w:rPr>
          <w:b/>
        </w:rPr>
        <w:t>E. 8.1</w:t>
      </w:r>
    </w:p>
    <w:p>
      <w:r>
        <w:t>Das Bundesverwaltungsgericht gelangt nach Prüfung der Akten zum Schluss, dass die Vorbringen des Beschwerdeführers den Anforderungen an die Flüchtlingseigenschaft nach Art. 3 AsylG nicht standzuhalten vermö- gen. Zur Vermeidung von Wiederholungen kann vollumfänglich auf die zu- treffenden Erwägungen des SEM (angefochtene Verfügung S. 5 ff. und E. 6.1 vorstehend) verwiesen werden. In der Beschwerdeeingabe wird nichts dargetan, was zu einer anderen Einschätzung führen könnte. Insbe- sondere ist festzuhalten, dass eine mögliche Ahndung von kriminellen Handlungen, wie sie der Beschwerdeführer gemäss eigenen Angaben be- gangen hat, gemeinrechtlich legitimiert ist und keinerlei Hinweise auf einen sogenannten Politmalus ersichtlich sind. In Bezug auf die Befürchtung des Beschwerdeführers, die Angreifer würden sich an ihm rächen, ist festzu- stellen, dass die algerischen Behörden schutzfähig und schutzwillig sind und er sich bei Erleiden von Nachteilen durch Drittpersonen oder präventiv an die heimatlichen Behörden wenden kann. Unter diesen Umständen er- übrigt es sich ferner eine Auseinandersetzung mit der Frage der Glaubhaf- tigkeit der Vorbringen im Sinne von Art. 7 AsylG.</w:t>
      </w:r>
    </w:p>
    <w:p>
      <w:r>
        <w:rPr>
          <w:b/>
        </w:rPr>
        <w:t>E. 8.2</w:t>
      </w:r>
    </w:p>
    <w:p>
      <w:r>
        <w:t>Es liegen mithin keine konkreten Hinweise dafür vor, dass der Be- schwerdeführer im Zeitpunkt seiner Ausreise einer flüchtlingsrechtlich rele- vanten Verfolgung oder einer entsprechenden Verfolgungsgefahr ausge- setzt war oder im Falle seiner Rückkehr nach Algerien ernsthafte Nachteile im Sinne von Art. 3 Abs. 2 AsylG zu gewärtigen hätte. Demnach hat die Vorinstanz zu Recht die Flüchtlingseigenschaft verneint und das Asylge- 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w:t>
      </w:r>
    </w:p>
    <w:p>
      <w:r>
        <w:t>E-2097/2024 Seite 8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w:t>
      </w:r>
    </w:p>
    <w:p>
      <w:r>
        <w:t>E-2097/2024 Seite 9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in Alge- rien lässt den Wegweisungsvollzug zum heutigen Zeitpunkt nicht als unzu- lässig erscheinen.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Lage in Algerien ist aktuell weder von Krieg, Bürger- krieg noch von einer Situation allgemeiner Gewalt gekennzeichnet (vgl. u.a. Urteil des Bundesverwaltungsgerichts [BVGer] D-5255/2022 von</w:t>
      </w:r>
    </w:p>
    <w:p>
      <w:r>
        <w:rPr>
          <w:b/>
        </w:rPr>
        <w:t>E. 10.3.3</w:t>
      </w:r>
    </w:p>
    <w:p>
      <w:r>
        <w:t>In individueller Hinsicht ist mit dem SEM (vgl. angefochtene Verfü- gung S. 7 f.) festzuhalten, dass nicht anzunehmen ist, dass der junge und gesunde Beschwerdeführer bei einer Rückkehr nach Algerien in eine exis- tenzielle Notlage geraten würde. Das Gericht verkennt zwar nicht, dass die allgemeinen Lebensumstände in Algerien, insbesondere in wirtschaftlicher Hinsicht, schwierig sein können. Der Beschwerdeführer hat sich aber be- reits vor seiner Ausreise seinen Lebensunterhalt – und ausserdem auch die Ausreise an sich – eigenständig finanzieren können. Es ist davon aus- zugehen, dass er sich bei einer Rückkehr nach Algerien eine wirtschaftli- che Lebensgrundlage schaffen kann. Unter diesen Umständen kann auch offenbleiben, ob der Beschwerdeführer in seinem Heimatstaat über Fami- lienangehörige verfügt. Ergänzend ist festzuhalten, dass weder den Akten noch der Beschwerde entnommen werden kann, dass der Beschwerdefüh- rer hinsichtlich seiner an der Anhörung geltend gemachten</w:t>
      </w:r>
    </w:p>
    <w:p>
      <w:r>
        <w:t>E-2097/2024 Seite 10 Tablettenabhängigkeit (vgl. SEM-Akten […]-27/14 F122 ff.) in gesundheit- licher Weise derart eingeschränkt wäre, dass dies für die Frage der Weg- weisung relevant wäre.</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Dezember 2022 E. 8.5 m.w.H.). Diese spricht mithin nicht gegen die Zumutbarkeit einer Rückführung nach Algerien.</w:t>
      </w:r>
    </w:p>
    <w:p>
      <w:r>
        <w:rPr>
          <w:b/>
        </w:rPr>
        <w:t>E. 12.1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Abs. 1 VwVG wegen der Aussichtslo- sigkeit der Rechtsbegehren – wie auch das Gesuch um Einsetzung einer amtlichen Rechtsverbeiständung im Sinne von Art. 102m Abs. 1 AsylG – abzuweisen ist.</w:t>
      </w:r>
    </w:p>
    <w:p>
      <w:r>
        <w:rPr>
          <w:b/>
        </w:rPr>
        <w:t>E. 12.2</w:t>
      </w:r>
    </w:p>
    <w:p>
      <w:r>
        <w:t>Das Gesuch um Verzicht auf die Erhebung eines Kostenvorschusses wird mit dem vorliegenden Entscheid in der Hauptsache gegenstandslos.</w:t>
      </w:r>
    </w:p>
    <w:p>
      <w:r>
        <w:t>(Dispositiv nächste Seite)</w:t>
      </w:r>
    </w:p>
    <w:p>
      <w:r>
        <w:t>E-2097/2024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