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E-2097/2016 vom 15. Dezember 2016</w:t>
      </w:r>
    </w:p>
    <w:p>
      <w:r>
        <w:t>Bundesverwaltungsgericht, 2016-12-15, DE</w:t>
      </w:r>
    </w:p>
    <w:p>
      <w:r>
        <w:rPr>
          <w:b/>
        </w:rPr>
        <w:t xml:space="preserve">Quelle: </w:t>
      </w:r>
      <w:r>
        <w:t>https://mcp.opencaselaw.ch/entscheid/bvger_E-2097_2016</w:t>
      </w:r>
    </w:p>
    <w:p>
      <w:r>
        <w:t>FR: TAF E-2097/2016 du 15 décembre 2016</w:t>
      </w:r>
    </w:p>
    <w:p>
      <w:r>
        <w:t>IT: TAF E-2097/2016 del 15 dicembre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1.2</w:t>
      </w:r>
    </w:p>
    <w:p>
      <w:r>
        <w:t>Gemäss Art. 55 VwVG hat eine Beschwerde grundsätzlich aufschiebende Wirkung. Diese wurde vorliegend nicht entzogen, weshalb der Antrag auf Gewährung der aufschiebenden Wirkung gegenstandslos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w:t>
      </w:r>
    </w:p>
    <w:p>
      <w:r>
        <w:t>Die Vorinstanz kommt in der angefochtenen Verfügung zum Schluss, die Vorbringen des Beschwerdeführers hielten weder den Anforderungen an das Glaubhaftmachen gemäss Art. 7 AsylG noch denjenigen von Art. 3 AsylG stand. Der Beschwerdeführer könne keine Angaben über seinen Vater machen, namentlich wisse er weder, ob dieser tatsächlich mit der tamilischen Bewegung in Kontakt gewesen sei, noch weshalb er das Risiko eingegangen wäre, sich für die LTTE (Liberation Tigers of Tamil Eelam) einzusetzen. Zudem erstaune, dass der Vater keinen Kontakt mit dem Norden Sri Lankas gepflegt habe. Auch zum Verschwinden seines Vaters habe der Beschwerdeführer nur knappe Angaben gemacht und sei nicht in der Lage gewesen, zu erklären, was seine Mutter unternommen habe, um den Vater zu finden. Ferner sei nicht plausibel, dass die Familie trotz der angeblich langjährigen Tätigkeit des Vaters für die LTTE nichts von dieser gehört habe. Die Aussagen bezüglich des Einsatzes des Vaters für die LTTE seien daher nicht glaubhaft. Weiter sei nicht ersichtlich, aus welchem Grund der Beschwerdeführer und seine Familie während mehr als fünf Jahren hätten behelligt worden sein sollen. Der Bericht über seine Befragung auf dem Polizeiposten sei undifferenziert und ohne Realkennzeichen. Er sei darüber hinaus nicht in der Lage gewesen, zu erklären, weshalb er lediglich von der Polizei und nicht vom Central Intelligence Department (CID) befragt worden sei. Zudem habe er das in Aussicht gestellte Bestätigungsschreiben über seine Festnahme nicht zu den Akten gegeben. Im Übrigen könne er auch die Anzahl seiner Festnahmen nicht nennen. Ferner habe er weder den Nachnamen noch die Adresse seines engen Freundes, der nach der Mutter gesucht habe, angeben können. Nicht nachvollziehbar sei auch, dass dieser Freund im Besitz einer Kopie seiner Identitätskarte gewesen sei und der Beschwerdeführer dafür keinen Grund habe angeben können. Darüber hinaus erstaune, dass er den Kontakt zu seiner Mutter abgebrochen habe. Der angeführte Grund, die Mutter kenne sich mit den modernen Kommunikationsmitteln nicht aus, sei als Schutzbehauptung zu werten. Schliesslich weise der Beschwerdeführer kein Profil auf, welches geeignet wäre, eine Furcht vor flüchtlingsrelevanter Verfolgung zu begründen. Sein Alter könnte die Aufmerksamkeit der sri-lankischen Behörden bei einer Wiedereinreise zwar erhöhen, dennoch gebe es keinen hinreichend begründeten Anlass zur Annahme, dass der Beschwerdeführer Massnahmen zu befürchten hätte, die über einen background check hinausgehen würden.</w:t>
      </w:r>
    </w:p>
    <w:p>
      <w:r>
        <w:rPr>
          <w:b/>
        </w:rPr>
        <w:t>E. 6.1</w:t>
      </w:r>
    </w:p>
    <w:p>
      <w:r>
        <w:t>In der Rechtsmitteleingabe hält der Beschwerdeführer an der Glaubhaftigkeit seiner Vorbringen fest. Sinngemäss macht er damit geltend, die Vorinstanz habe den Massstab des Glaubhaftmachens nicht richtig angewendet und verletze damit Bundesrecht.</w:t>
      </w:r>
    </w:p>
    <w:p>
      <w:r>
        <w:rPr>
          <w:b/>
        </w:rPr>
        <w:t>E. 6.2</w:t>
      </w:r>
    </w:p>
    <w:p>
      <w:r>
        <w:t>Zum Zeitpunkt der Anhörung war der Beschwerdeführer (...) Jahre alt und damit volljährig. Insoweit ist nicht ersichtlich, weshalb und insbesondere wie die Vorinstanz auf das Alter des Beschwerdeführers besonders hätte Rücksicht nehmen sollen. Entsprechend substantiiert der Beschwerdeführer diesen Einwand denn auch nicht. Jedenfalls ist festzustellen, dass der Beschwerdeführer offensichtlich keine Mühe hatte, sowohl die offen, als auch die geschlossen formulierten Fragen zu beantworten. Er antwortete jeweils sachbezogen und verständlich auf die ihm unterbreiteten Fragen. Zudem stellte er weder während der Anhörung noch anlässlich der Rückübersetzung Fragen, welche darauf schliessen liessen, er hätte etwas nicht verstanden. Auch gab er zu Protokoll, den Dolmetscher gut zu verstehen. Schliesslich sind den Akten keine Hinweise auf ein ständiges Schluchzen und Weinen zu entnehmen und stellt ein solches, entgegen der in der Eingabe vertretenen Ansicht, kein Realzeichen für die persönliche Glaubwürdigkeit des Beschwerdeführers dar. Der Beschwerdeführer vermag somit aus diesem Einwand nichts für sich abzuleiten.</w:t>
      </w:r>
    </w:p>
    <w:p>
      <w:r>
        <w:rPr>
          <w:b/>
        </w:rPr>
        <w:t>E. 6.3</w:t>
      </w:r>
    </w:p>
    <w:p>
      <w:r>
        <w:t>In der angefochtenen Verfügung wird ausführlich dargelegt, aus welchen Gründen die Vorbringen des Beschwerdeführers wenig konkret, detailliert und differenziert sowie nicht nachvollziehbar und damit insgesamt nicht glaubhaft sind. Soweit sich der Beschwerdeführer auf zwei Urteile des Bundesverwaltungsgerichts (BVGE 2011/14 und Urteil des BVGer E-559/2010 vom 16. März 2012) bezieht, substantiiert er nicht ansatzweise, inwiefern er persönlich ein Risikoprofil im Sinne der Rechtsprechung erfüllt. Solches ist auch nicht ersichtlich. Sodann legt er mit dem blossen Wiederholen des aktenkundigen Sachverhalts und dem Festhalten an dessen Tatsächlichkeit nicht dar, inwiefern die Vorinstanz zu Unrecht auf Unglaubhaftigkeit geschlossen hat. Um Wiederholungen zu vermeiden kann daher vollumfänglich auf die zutreffenden Ausführungen in der angefochtenen Verfügung verwiesen werden. Da seine Vorbringen insgesamt nicht glaubhaft sind, ist auch nicht davon auszugehen, dass der Beschwerdeführer wegen seines Vaters eine Registrierung bei den Behörden und damit eine Reflexverfolgung zu befürchten hat.</w:t>
      </w:r>
    </w:p>
    <w:p>
      <w:r>
        <w:rPr>
          <w:b/>
        </w:rPr>
        <w:t>E. 6.4</w:t>
      </w:r>
    </w:p>
    <w:p>
      <w:r>
        <w:t>Zusammenfassend ist festzuhalten, dass der Beschwerdeführer nichts vorgebracht hat, das geeignet wäre, die Flüchtlingseigenschaft nachzuweisen oder glaubhaft zu machen. Die Vorinstanz hat das Asylgesuch zu Recht abgelehnt.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8.2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8.3.1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sowohl in die Nordprovinz (Distrikte Jaffna, Kilinochchi, Mullaitivu, Mannar und Vavuniya, offen gelassen: das Vanni-Gebiet im Sinne von BVGE 2011/24, E. 13.2.2.1)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Bei der Anhörung gab der Beschwerdeführer an, er habe seit seiner Ausreise keinen Kontakt mehr zu seiner Mutter und seinem Bruder. Am 17. Mai 2016 reichte er eine Wohnsitz- beziehungsweise Abmeldebestätigung vom 3. Mai 2016 ein, gemäss welcher seine Mutter B._______ verlassen und in die Provinz D._______ gezogen sei. Wie er in den Besitz dieses Dokumentes gelangte, legt der Beschwerdeführer nicht dar. Indes ist daraus zu schliessen, dass der Beschwerdeführer entgegen seinen Aussagen in Kontakt mit seiner Mutter beziehungsweise anderen Verwandten sein muss, denn anders kann das Einreichen dieser Bestätigung, welche die Mutter des Beschwerdeführers betrifft, nicht erklärt werden. Allerdings ist in diesem Zusammenhang wenig glaubhaft, dass die Mutter des Beschwerdeführers in die Provinz D._______ gezogen ist, da weder sie noch der Vater des Beschwerdeführers gemäss seinen Angaben aus dieser Region stammen und die Familie auch keinerlei Kontakte dorthin pflegte. Jedenfalls aber ist davon auszugehen, dass der Beschwerdeführer in seiner Heimat über ein bestehendes familiäres Beziehungsnetz verfügt und bei einer Rückkehr bei seiner Familie wieder Aufnahme finden kann. Sodann hat der Beschwerdeführer eine gute Schulbildung, spricht gut Singalesisch sowie Englisch und hat sich hier in der Schweiz Arbeitserfahrungen in (...) erworben, weshalb ihm zuzumuten ist, bei einer Rückkehr eine eigene Existenz aufzubauen. Der Vollzug der Wegweisung ist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26. Mai 2016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