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E-2092/2009 vom 20. Januar 2012</w:t>
      </w:r>
    </w:p>
    <w:p>
      <w:r>
        <w:t>Bundesverwaltungsgericht, 2012-01-20, DE</w:t>
      </w:r>
    </w:p>
    <w:p>
      <w:r>
        <w:rPr>
          <w:b/>
        </w:rPr>
        <w:t xml:space="preserve">Quelle: </w:t>
      </w:r>
      <w:r>
        <w:t>https://mcp.opencaselaw.ch/entscheid/bvger_E-2092_2009</w:t>
      </w:r>
    </w:p>
    <w:p>
      <w:r>
        <w:t>FR: TAF E-2092/2009 du 20 janvier 2012</w:t>
      </w:r>
    </w:p>
    <w:p>
      <w:r>
        <w:t>IT: TAF E-2092/2009 del 20 gennaio 2012</w:t>
      </w:r>
    </w:p>
    <w:p>
      <w:pPr>
        <w:pStyle w:val="Heading2"/>
      </w:pPr>
      <w:r>
        <w:t>Regeste</w:t>
      </w:r>
    </w:p>
    <w:p>
      <w:r>
        <w:t>Asyl und Wegweisung</w:t>
      </w:r>
    </w:p>
    <w:p>
      <w:pPr>
        <w:pStyle w:val="Heading2"/>
      </w:pPr>
      <w:r>
        <w:t>Erwägungen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im Gegensatz zum strikten Beweis - ein reduziertes Beweismass und lässt durchaus Raum für gewisse Einwände und Zweifel an den Vorbringen des Gesuchstellers. Entscheidend ist, ob die Gründe, welche für die Richtigkeit der Sachverhaltsdarstellung sprechen, im Rahmen einer Gesamtwürdigung aller Elemente (übereinstimmende Angaben bezüglich des vorgebrachten Sachverhaltes, Substanziiertheit und Plausibilität der Vorbringen, persönliche Glaubwürdigkeit) überwiegen oder nicht. Dabei ist auf eine objektivierte Sichtweise abzustellen (vgl. Art. 7 AsylG; Ent­scheidungen und Mitteilungen der vormals zuständigen Schweizerischen Asylrekurskommission [ARK; EMARK] 2005 Nr. 21 E. 6.1 S. 190 f.). Für das Glaubhaftmachen reicht es demnach nicht aus, wenn der Inhalt der Vorbringen zwar möglich ist, aber in Würdigung der gesamten Aspekte wesentliche und überwiegende Umstände gegen die vorgebrachte Sachverhaltsdarstellung sprechen (vgl. Walter Stöckli, Asyl, in: Uebersax/Rudin/Hugi Yar/Geiser [Hrsg.], Ausländerrecht, 2. Aufl., Basel 2009, Rz. 11.149; Handbuch zum Asyl- und Wegweisungsverfahren, Schweizerische Flüchtlingshilfe SFH [Hrsg.], Bern/Stuttgart/Wien 2009, S. 161 ff.; EMARK 1996 Nr. 28 E. 3.a S. 270).</w:t>
      </w:r>
    </w:p>
    <w:p>
      <w:r>
        <w:rPr>
          <w:b/>
        </w:rPr>
        <w:t>E. 3</w:t>
      </w:r>
    </w:p>
    <w:p>
      <w:r>
        <w:t>3.1.1. Das BFM lehnte das Asylgesuch des Beschwerdeführers ab, da seine Vorbringen weder den Anforderungen an die Flüchtlingseigenschaft gemäss Art. 3 AsylG noch jenen an die Glaubhaftigkeit gemäss Art. 7 AsylG standhielten. 3.1.2. Zur Begründung ihres ablehnenden Entscheides führte die Vorinstanz aus, die Zugehörigkeit zur palästinensischen Volksgruppe im Libanon begründe für sich alleine keine asylrelevante Verfolgung. Die Lage der schätzungsweise 250'000 bis 300'000 Palästinenser in libanesischen Flüchtlingslagern würde sich zweifellos als schwierig gestalten: So bestünden trotz der Lockerungen in der Wahl beruflicher Tätigkeit im Jahr 2005 weiterhin Beschränkungen und die Erlangung der libanesischen Staatsangehörigkeit sei aus sicherheitspolitischen Überlegungen und aus Furcht vor einer Verschiebung der heiklen religiösen und politischen Balance des Landes nicht vorgesehen. Zudem werde die Grundversorgung weniger von staatlichen Institutionen als von der UNRWA wahrgenommen. Dennoch aber genössen die Palästinenser ein erhebliches Mass an Autonomie, namentlich in den von ihnen kontrollierten Lagern. Ihre Anwesenheit im Libanon sei nicht in Frage gestellt und ihre Bewegungs- sowie Niederlassungsfreiheit sei gewährleistet, so dass zahlreiche Palästinenser die Lager verlassen und sich ausserhalb eine Existenz aufgebaut hätten. Vor diesem Hintergrund sowie der faktischen bewaffneten Selbstverwaltung der Palästinenser sei nicht nachvollziehbar, weshalb das Sicherheitskomitee des rund (...) Flüchtlinge umfassenden Lagers D._______ den Schwager des (...) dermassen rasch an die schiitische Hisbollah ausliefern sollte, nur weil diese ihn der Spionage für Israel beschuldigt habe. Damit würde die Verwaltung ihren Handlungsspielraum gegenüber den expandierenden Schiiten aufgeben und ein Präjudiz für weitere "Auslieferungsgesuche" schaffen. Aufgrund dieser Tatsache dürfte erwartet werden, dass das Sicherheitskomitee selbst abklären würde, ob sich unter ihnen tatsächlich ein Verräter befinde. Der Beschwerdeführer habe auf Vorhalt hin keine Erklärung abzugeben vermocht (vgl. Akten BFM A17/12 Frage 95). Ferner sei er trotz des herrschenden Misstrauens im Libanon kaum über die Ansichten und Probleme seines angeblichen Freundes informiert gewesen (vgl. A17/12 Fragen 62-69). Spätestens nach der Beschuldigung durch die Hisbollah und die daraus angeblich resultierende Bedrohung wäre zu erwarten gewesen, dass sich der Beschwerdeführer und seine Angehörigen nach der Gefahr erkundigt hätten, um diese abzuschätzen. Zudem sei nicht nachvollziehbar, weshalb der Beschwerdeführer überstürzt und ohne nähere Informationen das Land und seine Frau, die er habe heiraten wollen, verlassen und nicht länger (...) abgewartet habe, um die Entwicklung der Lage abzuwarten. Gemäss dem Subsidiaritätsprinzip seien Personen mit einer innerstaatlichen Fluchtalternative nicht auf den Schutz eines Drittstaates angewiesen. Der Beschwerdeführer mache ausschliesslich Schwierigkeiten mit der schiitischen Hisbollah geltend. Dabei handle es sich um eine von Syrien und dem Iran unterstützte, mehrere tausend Mitglieder umfassende islamistische Organisation. Deren Einflussgebiet konzentriere sich auf Teile der Bekaa-Ebene, auf südliche Vororte von Beirut und auf den Südlibanon, den sie und die libanesische Armee kontrollierten. Sie sei indessen nicht die einzige Vertreterin schiitischer Anliegen im Libanon. Obwohl sie seit dem 11. Juli 2008 wieder einen Minister in der libanesischen Allparteienregierung stelle, bleibe ihr Machtbereich - entgegen den Behauptungen des Beschwerdeführers - weiterhin auf diese Regionen beschränkt. Der überwiegende Teil des Landes werde von anderen Gruppierungen kontrolliert und sei dem Machtbereich der schiitischen Hisbollah entzogen. Der Beschwerdeführer könne sich allfälligen künftigen Verfolgungsmassnahmen durch einen Wegzug in einen solchen Teil des Landes entziehen, wo ihm zugemutet werden könne, effektiven Schutz durch den libanesischen Staat in Anspruch zu nehmen. 3.1.3. Demgegenüber macht der Beschwerdeführer in seiner Rechtsmitteleingabe geltend, er habe von seinem Schwager erfahren, dass er aufgrund eines polizeilichen Haft- und Auslieferungsbefehls der Hisbollah vom Sicherheitskomitee gesucht werde. Wie allgemein bekannt sei, übe die Hisbollah in zahlreichen palästinensischen Flüchtlingslagern ihre Macht aus und arbeite eng mit den Sicherheitskomitees der Flüchtlingslager in Beirut zusammen. Ein solcher Auslieferungsbefehl sei ein Indiz für die Machtausübung der Hisbollah in den palästinensischen Flüchtlingslagern. Er habe sich nicht länger (...) aufhalten können, zumal er sich vor der Verfolgung der Hisbollah (...) nicht mehr habe schützen können. Weil er wegen seines Status weder eine Arbeitsstelle noch eine Wohnung erhalten hätte, hätte er sich früher oder später bei den dortigen Behörden melden müssen und sich damit der Gefahr ausgesetzt, an die Hisbollah ausgeliefert und inhaftiert zu werden. Aufgrund der fehlenden Schutzbereitschaft des Sicherheitskomitees des Flüchtlingslagers respektive des Quasi-Staates, müsse von einer mittelbaren staatlichen Verfolgung ausgegangen werden. Ferner weist er im Wesentlichen auf die prekären allgemeinen Lebensbedingungen in den libanesischen Flüchtlingslagern und die Diskriminierung der palästinensischen Bevölkerung im Libanon hin und macht geltend, dass seine Fluchtmotivation nicht alleine in seiner palästinensischen Ethnie gründe. Diese sei aber Indiz für die nicht vorhandene inländische Fluchtalternative. Als palästinensischer Vertriebener von 1967 erhalte er weder einen libanesischen Pass noch Unterstützung seitens der UNRWA. Demzufolge gehe das BFM in seiner Einschätzung fehl, wonach die Bewegungs- und Niederlassungsfreiheit der palästinensischen Flüchtlinge gewährleistet sei. 3.1.4. In seiner Vernehmlassung vom 29. Mai 2009 hält das BFM fest, dass die mit der Beschwerdeschrift eingereichte Vorladung der Fatah kein taugliches Beweismittel sei, um eine asylrelevante Verfolgung zu untermauern. Solche Dokumente ohne jegliches Sicherheitsmerkmal könnten problemlos auf jedem beliebigen Computer hergestellt und gegebenenfalls erhältlich gemacht werden, insbesondere wenn - wie vorliegend - (...). Zudem würden bei effektivem Verdacht der Spionage zugunsten Israels die zuständigen staatlichen Institutionen aktiv und nicht die Milizen. Mit Verweis auf eine Internetseite hält es des Weiteren fest, dass in diesen Tagen libanesische Behörden mehrere Verhaftungen in diesem Zusammenhang vorgenommen und sich damit deutlich gegen die Hisbollah positioniert hätten. Ferner beschränke sich das Machtgebiet der Hisbollah weiterhin nur auf Teilgebiete des Libanon. 3.1.5. In seiner Replik beharrt der Beschwerdeführer auf der Richtigkeit seiner Ausführungen und macht geltend, die Argumentation des BFM basiere auf einer reinen Behauptung. Die Machtausübung und der Einfluss der Hisbollah in palästinensischen Flüchtlingslagern könne nicht bestritten werden. Aufgrund der Beschuldigung der Spionage für Israel habe er begründete Furcht vor Verfolgung. 3.2.1. Aufgrund des Lingua-Ergebnisses steht unter anderem fest, dass die palästinensische Herkunft des Beschwerdeführers und sein Aufenthalt im Flüchtlingslager D._______ erstellt ist. Der Beschwerdeführer hat sich im Verfahren mit seinem UNRWA-Ausweis legitimiert. Mit der Anwendbarkeit der Flüchtlingskonvention auf palästinensische Asylsuchende hat sich das Bundesverwaltungsgericht in seinem Urteil BVGE 2008/34 auseinandergesetzt: Bei palästinensischen Asylsuchenden, die unter das Mandat der UNRWA fallen, ist kein genereller Ausschluss vom Anwendungsbereich der Flüchtlingskonvention anzunehmen, sondern es ist auch bei ihnen stets individuell zu prüfen, ob sie die Voraussetzungen für die Anerkennung der Flüchtlingseigenschaft erfüllen (Art. 1 D des Abkommens vom 28. Juli 1951 über die Rechtsstellung der Flüchtlinge [FK, SR 0.142.30] i.V.m. Art. 1 A Ziff. 2 FK, Art. 3 AsylG). 3.2.2. Nach eingehender Prüfung der Akten schliesst sich das Bundesverwaltungsgericht der Ansicht der Vorinstanz an, wonach die Vorbringen des Beschwerdeführers in einer Gesamtwürdigung weder den Anforderungen an die Flüchtlingseigenschaft noch denjenigen an die Glaubhaftmachung standhalten. Die Vorbringen in der Rechtsmitteleingabe vom 30. März 2009 sowie in seiner Replik vom 19. Juni 2009 sind insgesamt nicht geeignet, eine Änderung der vorinstanzlichen Verfügung zu bewirken. Der Argumentation des BFM werden keine stichhaltigen und substanziierten Gründe entgegengesetzt und eine diesbezügliche Auseinandersetzung unterbleibt weitgehend. Daran vermag auch das Beharren auf der Richtigkeit seiner Vorbringen in seiner Replik nichts dazu ändern. Darüber hinaus geht aus dem auf Beschwerdeebene eingereichten Dokument in keiner Weise hervor, dass es sich dabei um ein Schreiben einer staatlichen Institution handelt. Vielmehr ist diesem zu entnehmen, dass es sich dabei nicht um einen polizeilichen Haft- respektive Auslieferungsbefehl an die Hisbollah geht, sondern um eine Vorladung zu einer Befragung der Fatah (politische Partei in den palästinensischen Autonomiegebieten und stärkste Fraktion innerhalb der Dachorganisation der PLO [Palestine Liberation Organization]; Anmerkung Bundesverwaltungsgericht). Entgegen seinen Ausführungen ist daher nicht einsehbar, weshalb der Beschwerdeführer aufgrund der Vorladung der Fatah, welche unter anderem die Hisbollah bekämpft, von letzterer gesucht werden sollte. Wie das BFM in seiner Vernehmlassung vom 29. Mai 2009 ferner erwogen hat, ist die eingereichte Vorladung wegen der fehlenden Sicherheitsmerkmale nicht geeignet, seine angeblich asylrelevante Verfolgung zu untermauern. Darüber hinaus liegen keine Anhaltspunkte dafür vor, dass sich der Beschwerdeführer aufgrund seines Persönlichkeitsprofils derart exponiert und einen solchen Bekanntheitsgrad erlangt hätte, dass er von der Hisbollah gesucht würde. Für das Bundesverwaltungsgericht besteht nach Überprüfung der Akten keine Veranlassung, die Erwägungen des BFM zu beanstanden, zumal sie sich mit der Lagebeurteilung des Gerichts decken (vgl. Urteile des Bundesverwaltungsgerichts D-3731/2008 vom 12. Juni 2008, D-1861/2009 vom 19. Mai 2009 und E-1402/2008 vom 24. Oktober 2011). Um Wiederholungen zu vermeiden, kann weitgehend auf die zutreffenden Ausführungen in der angefochtenen Verfügung und in der Vernehmlassung verwiesen werden.</w:t>
      </w:r>
    </w:p>
    <w:p>
      <w:r>
        <w:rPr>
          <w:b/>
        </w:rPr>
        <w:t>E. 3.3</w:t>
      </w:r>
    </w:p>
    <w:p>
      <w:r>
        <w:t>Zusammenfassend ist festzuhalten, dass es dem Beschwerdeführer nicht gelungen ist, eine asylrelevante Verfolgung nachzuweisen oder glaubhaft darzutun. Es erübrigt sich, auf weitere Ausführungen in der Beschwerde einzugehen, da diese am Ergebnis nichts zu ändern vermögen. Somit hat die Vorinstanz im Ergebnis zu Recht das Asylgesuch des Beschwerdeführers abgewiesen.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Stöckli, a.a.O. Rz. 11.148).</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6.2</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Art. 33 Abs. 1 FK). Dieses flüchtlingsrechtliche Rückschiebungsverbot schützt nur Personen, welche die Flüchtlingseigenschaft im Sinne von Art. 3 AsylG respektive Art. 1A FK erfüllen. Dies ist vorliegend nicht der Fall, weshalb das in Art. 5 AsylG verankerte Prinzip des flüchtlingsrechtlichen Rückschiebungsverbots nicht zur Anwendung gelangen kann. Der Vollzug der Wegweisung in den Libanon ist demnach unter dem Aspekt von Art. 5 AsylG rechtmässig.</w:t>
      </w:r>
    </w:p>
    <w:p>
      <w:r>
        <w:rPr>
          <w:b/>
        </w:rPr>
        <w:t>E. 6.3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Weder aus den Aussagen des Beschwerdeführers noch aus den Akten ergeben sich Anhaltspunkte dafür, dass er für den Fall einer Ausschaffung in den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vorliegend nicht der Fall. Die aktuelle allgemeine Menschenrechtssituation im Herkunftsstaat lässt den Wegweisungsvollzug zum heutigen Zeitpunkt nicht als unzulässig erscheinen. Nach dem Gesagten ist der Vollzug der Wegweisung sowohl im Sinne der asyl- als auch der völkerrechtlichen Bestimmungen zulässig. 6.4.1.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Ausländerinnen und Ausländer vom 8. März 2002, BBl 2002 3818). 6.4.2. Die allgemeine Situation im Libanon hat sich seit Beendigung des Krieges Im Sommer 2006 wieder stabilisiert. Heute herrscht dort nicht landesweit eine Bürgerkriegssituation oder eine Situation allgemeiner Gewalt, aufgrund derer die Zivilbevölkerung als konkret gefährdet bezeichnet werden müsste. 6.4.3. Aus den Akten ergeben sich auch keine Anhaltspunkte, die darauf schliessen liessen, der Beschwerdeführer gerate im Falle einer Rückkehr in den Libanon aus individuellen Gründen wirtschaftlicher, sozialer oder gesundheitlicher Natur in eine existenzbedrohende Situation. Der Beschwerdeführer - der gemäss Aktenlage keine gesundheitlichen Beeinträchtigungen geltend macht und arbeitsfähig ist - verfügt im Libanon über ein breites Familiennetz (vgl. A1/11 S. 4; A17/12 S. 3), welches ihm gegebenenfalls auch bei einer Wohnsitznahme ausserhalb seiner bisherigen Heimatregion behilflich sein kann. Der Beschwerdeführer absolvierte vier Jahre die Primarschule und arbeitete bis zu seiner Ausreise als (...) in E._______ (vgl. A17/12 S. 4). Angesichts des relativ jungen Alters und seiner bisherigen Schulausbildung, der beruflichen Tätigkeiten und seiner Berufserfahrungen ist davon auszugehen, dass er - wie andere Personen palästinensischer Herkunft - sowohl innerhalb als auch ausserhalb des Lagers leben und/oder zu seinen Verwandten zurückkehren kann und es ihm möglich sein wird, wieder eine Existenz aufzubauen. 6.4.4. Nach dem Gesagten erweist sich der Vollzug der Wegweisung auch als zumutbar.</w:t>
      </w:r>
    </w:p>
    <w:p>
      <w:r>
        <w:rPr>
          <w:b/>
        </w:rPr>
        <w:t>E. 6.5</w:t>
      </w:r>
    </w:p>
    <w:p>
      <w:r>
        <w:t>Schliesslich obliegt es dem Beschwerdeführer, dessen Identität aufgrund seines UNRWA-Ausweises nachweisbar ist, sich bei der zuständigen Vertretung Libanons die für die Rückkehr erforderlichen Reisedokumente zu beschaffen (vgl. Art. 8 Abs. 4 AsylG, BVGE 2008/34 E. 12), weshalb der Wegweisungsvollzug auch möglich ist.</w:t>
      </w:r>
    </w:p>
    <w:p>
      <w:r>
        <w:rPr>
          <w:b/>
        </w:rPr>
        <w:t>E. 6.6</w:t>
      </w:r>
    </w:p>
    <w:p>
      <w:r>
        <w:t>Insgesamt ist der durch die Vorinstanz verfügte Wegweisungsvollzug zu bestätigen. Das BFM hat ihn zu Recht als zulässig, zumutbar und möglich erachtet. Die Anordnung einer vorläufigen Aufnahme fällt damit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und 5 VwVG) und auf insgesamt Fr. 600.- festzusetzen (Art. 1 - 3 des Reglements vom 21. Februar 2008 über die Kosten und Entschädigungen vor dem Bundesverwaltungsgericht [VGKE, SR 173.320.2]). Nachdem die Bedürftigkeit des Beschwerdeführers ausgewiesen ist und das Verfahren nicht als aussichtslos zu bezeichnen war, ist das Gesuch um Gewährung der unentgeltlichen Rechtspflege, über welches bisher nicht entschieden worden ist,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