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E-2090/2016 vom 12. April 2016</w:t>
      </w:r>
    </w:p>
    <w:p>
      <w:r>
        <w:t>Bundesverwaltungsgericht, 2016-04-12, DE</w:t>
      </w:r>
    </w:p>
    <w:p>
      <w:r>
        <w:rPr>
          <w:b/>
        </w:rPr>
        <w:t xml:space="preserve">Quelle: </w:t>
      </w:r>
      <w:r>
        <w:t>https://mcp.opencaselaw.ch/entscheid/bvger_E-2090_2016</w:t>
      </w:r>
    </w:p>
    <w:p>
      <w:r>
        <w:t>FR: TAF E-2090/2016 du 12 avril 2016</w:t>
      </w:r>
    </w:p>
    <w:p>
      <w:r>
        <w:t>IT: TAF E-2090/2016 del 12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2.4</w:t>
      </w:r>
    </w:p>
    <w:p>
      <w:r>
        <w:t>Gestützt auf Art. 111a Abs. 1 AsylG wurde vorliegend auf die Durchführung eines Schriftenwechsels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Den vorliegenden Akten ist zu entnehmen, dass sich die Beschwerde­führenden vor ihrer Einreise in die Schweiz in Kroatien aufgehalten hatten. Anlässlich ihrer Befragung zur Person führten sie aus, auf ihrer Reise vom Heimatstaat in die Schweiz durch Kroatien gereist zu sein und sie gaben zu Protokoll, dass sie dort registriert worden seien. Das SEM ersuchte die kroatischen Behörden am 15. Januar 2016 um Aufnahme der Beschwer-deführenden gestützt auf Art. 13 Abs. 1 Dublin-III-VO.</w:t>
      </w:r>
    </w:p>
    <w:p>
      <w:r>
        <w:rPr>
          <w:b/>
        </w:rPr>
        <w:t>E. 4.2</w:t>
      </w:r>
    </w:p>
    <w:p>
      <w:r>
        <w:t>Die kroatischen Behörden liessen das Übernahmeersuchen innert der in Art. 22 Abs. 1 [und 6] Dublin-III-VO vorgesehenen Frist unbeantwortet, womit sie die Zuständigkeit Kroatiens implizit anerkannten (Art. 22 Abs. 7 Dublin-III-VO).</w:t>
      </w:r>
    </w:p>
    <w:p>
      <w:r>
        <w:rPr>
          <w:b/>
        </w:rPr>
        <w:t>E. 4.3</w:t>
      </w:r>
    </w:p>
    <w:p>
      <w:r>
        <w:t>An der grundsätzlichen Zuständigkeit Kroatiens für die Behandlung des Asylgesuchs vermag - wie das SEM zutreffend festgestellt hat (vgl. angefochtene Verfügung S. 3) - auch der Umstand nichts zu ändern, dass offenbar ein Onkel des Beschwerdeführers in der Schweiz lebt. Dies wird von den Beschwerdeführenden im Übrigen auch nicht wirklich bestritten.</w:t>
      </w:r>
    </w:p>
    <w:p>
      <w:r>
        <w:rPr>
          <w:b/>
        </w:rPr>
        <w:t>E. 5.1.1</w:t>
      </w:r>
    </w:p>
    <w:p>
      <w:r>
        <w:t>Im Weiteren gibt es keine wesentlichen Gründe für die Annahme, das Asylverfahren und die Aufnahmebedingungen für Asylsuchende in Kroatien würden systemische Schwachstellen aufweisen, die eine Gefahr einer unmenschlichen oder entwürdigenden Behandlung im Sinne von Art. 4 EU-Grundrechtecharta mit sich bringen würden.</w:t>
      </w:r>
    </w:p>
    <w:p>
      <w:r>
        <w:rPr>
          <w:b/>
        </w:rPr>
        <w:t>E. 5.1.2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Im Weiteren ist darauf hinzuweisen, dass gemäss einem im Rahmen des "Asylum Information Database"-Projektes (AIDA) erstellten Länderbericht des Europäischen Flüchtlingsrates ECRE Asylsuchende, welche im Rahmen des Dublin-Verfahrens nach Kroatien überstellt würden, grundsätzlich ohne Probleme Zugang zum kroatischen Asylverfahren erhalten (vgl. Aida Country Report: Croatia, Update vom Dezember 2015, First instance procedure, Ziff. 3.2, S. 27, www.asylumineurope.org/sites/default/files/report-download/aida_hr_update.ii_.pdf, besucht am 31.03.2016).</w:t>
      </w:r>
    </w:p>
    <w:p>
      <w:r>
        <w:rPr>
          <w:b/>
        </w:rPr>
        <w:t>E. 5.1.3</w:t>
      </w:r>
    </w:p>
    <w:p>
      <w:r>
        <w:t>Unter diesen Umständen ist die Anwendung von Art. 3 Abs. 2 Dublin-III-VO nicht gerechtfertigt.</w:t>
      </w:r>
    </w:p>
    <w:p>
      <w:r>
        <w:rPr>
          <w:b/>
        </w:rPr>
        <w:t>E. 5.2.1</w:t>
      </w:r>
    </w:p>
    <w:p>
      <w:r>
        <w:t>Die Beschwerdeführenden fordern mit ihrem Verweis auf menschenunwürdige Lebensbedingungen in Kroatien insbesondere für kleine Kinder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5.2.2</w:t>
      </w:r>
    </w:p>
    <w:p>
      <w:r>
        <w:t>Die Beschwerdeführenden haben indessen kein konkretes und ernsthaftes Risiko dargetan, die kroatischen Behörden würden sich weigern, sie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nicht weiter substanziierte Behauptung der Beschwerdeführenden, nach Kroatien überstellte Asylsuchende würden Gefahr laufen, ohne Prüfung ihrer Asylgesuche in Drittstaaten abgeschoben zu werden, ist nicht geeignet, diese Einschätzung in Frage zu stellen.</w:t>
      </w:r>
    </w:p>
    <w:p>
      <w:r>
        <w:rPr>
          <w:b/>
        </w:rPr>
        <w:t>E. 5.2.3</w:t>
      </w:r>
    </w:p>
    <w:p>
      <w:r>
        <w:t>Ausserdem haben die Beschwerdeführenden - die ausdrücklich zu Protokoll gegeben haben, unter keinen Gesundheitsbeschwerden zu leiden (vgl. Protokoll BzP Beschwerdeführer S. 8, Protokoll BzP Beschwerdeführerin S. 7) - nicht dargetan, die sie bei einer Rückführung erwartenden Bedingungen in Kroatien seien derart schlecht, dass sie zu einer Verletzung von Art. 4 der EU-Grundrechte­charta, Art. 3 EMRK oder Art. 3 FoK führen könnten. Sie haben auch keine konkreten Hinweise für die Annahme vorgebracht, Kroatien würde ihnen dauerhaft die ihnen gemäss Aufnahmerichtlinie zustehenden minimalen Lebensbedingungen vorenthalten. Die Einwände im Rechtsmittel (vgl. dort S. 3), sie hätten mit den Kindern stundenlang bei sehr kaltem Wetter im Freien warten, danach - selbst nach Abnahme der Fingerabdrücke - weder Wasser noch Essen erhalten, sie seien geschlagen worden und zu einem Bus getrieben worden, vermögen nicht zu einem anderen Schluss zu führen. Im Übrigen ist nach Durchsicht der Akten festzustellen, dass sie derartige Erlebnisse bei der Gewährung des rechtlichen Gehörs zur Überstellung nach Kroatien nicht ansatzweise erwähnt hatten; der Beschwerdeführer gab vielmehr diese Aussage zu Protokoll: "Für mich spielt das keine Rolle. Ich möchte jedoch lieber hier bleiben, weil hier die Menschenrechte gewährleistet sind" (vgl. Protokoll Befragung zur Person S. 8). Auch der Hinweis, dass Kroatien mit der Bearbeitung einer grossen Zahl von Asylgesuchen überlastet sei, vermag am oben Gesagten grundsätzlich nichts zu ändern. Bei einer allfälligen vorübergehenden Einschränkung oder diesbezüglichen Problemen könnten sie sich zudem nötigenfalls an die kroatischen Behörden wenden und die ihnen zustehenden Aufnahmebedingungen auf dem Rechtsweg einfordern (vgl. Art. 26 Aufnahmerichtlinie).</w:t>
      </w:r>
    </w:p>
    <w:p>
      <w:r>
        <w:rPr>
          <w:b/>
        </w:rPr>
        <w:t>E. 5.2.4</w:t>
      </w:r>
    </w:p>
    <w:p>
      <w:r>
        <w:t>Das Bundesverwaltungsgericht hat in letzter Zeit in mehreren Entscheiden vom SEM angeordnete Dublin-Überstellungen von Familien nach Kroatien bestätigt (vgl. statt vieler etwa die Urteile E-2049/23016 vom 7. April 2016, E-1819/2016 vom 29. März 2016, D 1611/2016 und E-1655/2016 vom 22. März 2016).</w:t>
      </w:r>
    </w:p>
    <w:p>
      <w:r>
        <w:rPr>
          <w:b/>
        </w:rPr>
        <w:t>E. 5.2.5</w:t>
      </w:r>
    </w:p>
    <w:p>
      <w:r>
        <w:t>Auch unter dem Aspekt des Kindeswohls spricht nichts gegen eine Rückführung nach Kroatien. Kroatien hat das Übereinkommen vom 20. November 1989 über die Rechte des Kindes (SR 0.107) unterzeichnet und es liegen keine Anhaltspunkte für die Annahme vor, dass sich dieses Land generell oder im konkreten Fall nicht an die daraus resultierenden völkerrechtlichen Verpflichtungen hält.</w:t>
      </w:r>
    </w:p>
    <w:p>
      <w:r>
        <w:rPr>
          <w:b/>
        </w:rPr>
        <w:t>E. 5.2.6</w:t>
      </w:r>
    </w:p>
    <w:p>
      <w:r>
        <w:t>Da sich die Beschwerdeführenden erst seit rund fünf Monaten in der Schweiz aufhalten, kann im Fall der Überstellung nach Kroatien noch nicht von einer Entwurzelung der Kinder aus einem stabilen, vertrauten Umfeld gesprochen werden, die sie in ihrer weiteren Entwicklung stark belasten würde.</w:t>
      </w:r>
    </w:p>
    <w:p>
      <w:r>
        <w:rPr>
          <w:b/>
        </w:rPr>
        <w:t>E. 5.3</w:t>
      </w:r>
    </w:p>
    <w:p>
      <w:r>
        <w:t>Soweit die Beschwerdeführenden sinngemäss das Vorliegen von "humanitären Gründen" geltend machen, ist Folgendes festzuhalten:</w:t>
      </w:r>
    </w:p>
    <w:p>
      <w:r>
        <w:rPr>
          <w:b/>
        </w:rPr>
        <w:t>E. 5.3.1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5.3.2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w:t>
      </w:r>
    </w:p>
    <w:p>
      <w:r>
        <w:t>Somit bleibt Kroatien der für die Behandlung der Asylgesuche der Be­schwerdeführenden zuständige Mitgliedstaat gemäss Dublin-III-VO. Kroatien ist verpflichtet, das Asylverfahren gemäss Art. 21, 22 und 29 aufzunehmen.</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8</w:t>
      </w:r>
    </w:p>
    <w:p>
      <w:r>
        <w:t>Nach dem Gesagten ist die Beschwerde abzuweisen und die Verfügung des SEM zu bestätigen. Das Beschwerdeverfahren ist mit vorliegendem Urteil abgeschlossen, weshalb sich die Anträge auf Gewährung der aufschiebenden Wirkung und auf Befreiung von der Kostenvorschusspflicht als gegenstandslos erweisen.</w:t>
      </w:r>
    </w:p>
    <w:p>
      <w:r>
        <w:rPr>
          <w:b/>
        </w:rPr>
        <w:t>E. 9</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Das mit der Beschwerde gestellte Gesuch um Gewährung der unentgeltlichen Prozessführung ist abzuweisen, weil die Begehren - wie sich aus den vorstehenden Erwägungen ergibt - als aussichtlos zu bezeichnen waren und die Voraussetzungen von Art. 65 Abs. 1 VwVG ungeachtet der prozessualen Bedürftigkeit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