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E-2089/2023 vom 30. Oktober 2023</w:t>
      </w:r>
    </w:p>
    <w:p>
      <w:r>
        <w:t>Bundesverwaltungsgericht, 2023-10-30, DE</w:t>
      </w:r>
    </w:p>
    <w:p>
      <w:r>
        <w:rPr>
          <w:b/>
        </w:rPr>
        <w:t xml:space="preserve">Quelle: </w:t>
      </w:r>
      <w:r>
        <w:t>https://mcp.opencaselaw.ch/entscheid/bvger_E-2089_2023</w:t>
      </w:r>
    </w:p>
    <w:p>
      <w:r>
        <w:t>FR: TAF E-2089/2023 du 30 octobre 2023</w:t>
      </w:r>
    </w:p>
    <w:p>
      <w:r>
        <w:t>IT: TAF E-2089/2023 del 30 ottobre 2023</w:t>
      </w:r>
    </w:p>
    <w:p>
      <w:pPr>
        <w:pStyle w:val="Heading2"/>
      </w:pPr>
      <w:r>
        <w:t>Regeste</w:t>
      </w:r>
    </w:p>
    <w:p>
      <w:r>
        <w:t>Datenschutz</w:t>
      </w:r>
    </w:p>
    <w:p>
      <w:pPr>
        <w:pStyle w:val="Heading2"/>
      </w:pPr>
      <w:r>
        <w:t>Erwägungen</w:t>
      </w:r>
    </w:p>
    <w:p>
      <w:r>
        <w:rPr>
          <w:b/>
        </w:rPr>
        <w:t>E. 19</w:t>
      </w:r>
    </w:p>
    <w:p>
      <w:r>
        <w:t>Juni 1992 über den Datenschutz (aDSG, AS 1993 1945) zu beurteilen ist,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5 Abs. 2 aDSG bearbeitet, dass sich diesbezügliche Verfahren nach dem VwVG richten (Art. 25 Abs. 4 aDSG; auch Art. 19 Abs. 1 der Verordnung über das Zentrale Mig- rationsinformationssystem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 den Wirkung beantragt wird, festzuhalten ist, dass im vorliegenden Fall der Realakt (Eintragung im ZEMIS) bereits vollzogen und die Rechtwirkung da- mit bereits eingetreten ist, die Beschwerde mithin keine aufschiebende</w:t>
      </w:r>
    </w:p>
    <w:p>
      <w:r>
        <w:t>E-2089/2023 Seite 5 Wirkung mehr zu entfalten vermag (vgl. REGINA KIENER, in: Bundesgesetz über das Verwaltungsverfahren, Kommentar VwVG, 2019, N. 2 zu Art. 55 VwVG), wobei die Vorinstanz eine solche – was ihr Entscheid impliziert – auch nicht entziehen kann,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 bringen des Bestreitungsvermerks für die Dauer des hängigen ZEMIS-Be- schwerdeverfahrens bereits genügend Rechnung getragen ist, weshalb dem Antrag nicht zu entsprechen beziehungsweise mit Erlass des vorlie- genden Urteils ohnehin gegenstandlos geworden ist, dass im Rahmen eines Berichtigungsverfahrens betreffend Einträge mit Bestreitungsvermerk letztendlich die Frage zu klären ist, welche der um- strittenen Personenangaben die wahrscheinlicheren sind (vgl. statt vieler: Urteil des BVGer E-3182/2021 vom 6. Oktober 2022 E. 4.4 m.w.H.), dass die Angaben und das Aussageverhalten des Beschwerdeführers zu seinem Alter insofern inkohärent ausgefallen sind, als er beispielsweise auf dem selbständig auszufüllenden Personalienblatt teilweise andere Anga- ben zu seinem Geburtsdatum machte als anlässlich der späteren persön- lichen Befragung, oder einerseits erklärte, sein Geburtsdatum habe er erst nach seiner Einreise in die Schweiz erfahren, andererseits diesbezüglich bereits Angaben in andern Dublin-Staaten machte (vgl. SEM-Akten A 2/1, A 12/11 N. 1.06 sowie N. 5.02), dass der Beschwerdeführer sodann in B._______ als volljährige Person registriert ist, dass – entgegen der Auffassung des Beschwerdeführers – alleine der Um- stand, dass das im Altersgutachten festgehaltene Mindestalter ([…] Jahre und […] Monate) nur wenige Monate von dem von ihm geltend gemachten Alter ([…] Jahr und […] Monat) abweicht, nicht auf die Richtigkeit seiner Angaben geschlossen werden kann, zumal das Gutachten von einem Durchschnittsalter von (…) bis (…) Jahren ausgeht und als Fazit festhält, die Angaben des Beschwerdeführers könnten nicht zutreffen,</w:t>
      </w:r>
    </w:p>
    <w:p>
      <w:r>
        <w:t>E-2089/2023 Seite 6 dass diesbezüglich mit der Vorinstanz übereinzugehen ist, dass das Alters- gutachten im vorliegenden Fall keinen massgeblichen Beitrag zur Ein- schätzung des Alters des Beschwerdeführers zu leisten vermag, dass im Urteil des BVGer E-2063/2023 vom 3. Oktober 2023 aufgrund ei- ner eingehenden Prüfung der Indizien für und gegen die Minderjährigkeit festgehalten wurde, der Beschwerdeführer habe seine Minderjährigkeit nicht glaubhaft machen können, dass der Beschwerdeführer bei dieser Ausgangslage auch aus der bei den Akten liegenden Tazkera – welcher bereits vor dem Hintergrund des Län- derkontextes nur ein untergeordneter Beweiswert zu attestieren ist – und welche inhaltlich nur eine Altersschätzung enthält sowie darüber hinaus le- diglich als Kopie vorliegt, nichts zu seinen Gunsten abzuleiten vermag, dass bei dieser Ausgangslage insgesamt nicht davon ausgegangen wer- den kann, das vom Beschwerdeführer geltend gemachte Geburtsdatum sei das wahrscheinlichere, dass die Vorinstanz durch den von ihr vorgenommenen Eintrag Bundes- recht nicht verletzt hat, dass die Beschwerde abzuweisen ist, dass der Beschwerdeführer die Gewährung der unentgeltlichen Prozess- führung beantragt (Art. 65 Abs. 1 VwVG), dass sich aus den vorstehenden Erwägungen ergibt, dass seine Begehren als aussichtslos zu gelten haben und damit eine der kumulativ zu erfüllen- den Voraussetzungen nicht gegeben ist, weshalb das Gesuch abzuweisen ist, dass bei diesem Ausgang des Verfahrens die Kosten dem Beschwerdefüh- rer aufzuerlegen (Art. 63 Abs. 1 VwVG) und auf insgesamt Fr. 500.– fest- 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w:t>
      </w:r>
    </w:p>
    <w:p>
      <w:r>
        <w:t>E-2089/2023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