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E-2089/2018 vom 18. April 2018</w:t>
      </w:r>
    </w:p>
    <w:p>
      <w:r>
        <w:t>Bundesverwaltungsgericht, 2018-04-18, DE</w:t>
      </w:r>
    </w:p>
    <w:p>
      <w:r>
        <w:rPr>
          <w:b/>
        </w:rPr>
        <w:t xml:space="preserve">Quelle: </w:t>
      </w:r>
      <w:r>
        <w:t>https://mcp.opencaselaw.ch/entscheid/bvger_E-2089_2018</w:t>
      </w:r>
    </w:p>
    <w:p>
      <w:r>
        <w:t>FR: TAF E-2089/2018 du 18 avril 2018</w:t>
      </w:r>
    </w:p>
    <w:p>
      <w:r>
        <w:t>IT: TAF E-2089/2018 del 18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festzustellen, dass der Beschwerde von Gesetzes wegen aufschiebende Wirkung zukommt (Art. 55 VwVG) und die Vorinstanz diese vorliegend nicht entzogen hat. Der Eventualantrag auf Gewährung der aufschiebenden Wirkung ist daher gegenstandslos.</w:t>
      </w:r>
    </w:p>
    <w:p>
      <w:r>
        <w:rPr>
          <w:b/>
        </w:rPr>
        <w:t>E. 4</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lehnte das Asylgesuch des Beschwerdeführers ab, da seine Vorbringen weder den Anforderungen an das Glaubhaftmachen gemäss Art. 7 AsylG noch denjenigen an die Flüchtlingseigenschaft gemäss Art. 3 AsylG standhielten.</w:t>
      </w:r>
    </w:p>
    <w:p>
      <w:r>
        <w:rPr>
          <w:b/>
        </w:rPr>
        <w:t>E. 6.2</w:t>
      </w:r>
    </w:p>
    <w:p>
      <w:r>
        <w:t>Zunächst stellte sie fest, der Beschwerdeführer habe keinerlei Dokumente für den Beweis seiner Identität eingereicht. Bei der Einreichung des Asylgesuchs habe er angegeben, er sei am (...) geboren. Bei der BzP habe er abweichend davon ausgesagt, sein Geburtsdatum sei der (...). Ferner habe er in den Befragungen jeweils nicht dartun können, wie alt er jeweils gewesen sei, als er die Schule begonnen beziehungsweise beendet habe. Aufgrund dessen und dem Ergebnis der Handknochenanalyse - die ein Skelettalter von 18 Jahren und 6 Monaten ergeben habe - habe der Beschwerdeführer seine Minderjährigkeit nicht glaubhaft machen können. Sein Geburtsdatum sei auf den (...) geändert worden und der Beschwerdeführer habe damit keinen Anspruch auf Verfahrensbedingungen für minderjährige Asylsuchende. Weiter hielt die Vorinstanz zur Begründung der Verfügung fest, die Angaben des Beschwerdeführers zum Tod seiner Mutter seien unsubstantiiert ausgefallen. Er habe nur oberflächlich und stereotyp geschildert, wie die Mutter verstorben sei. Auf Nachfrage hin habe er lediglich zu Protokoll gegeben, sie habe Probleme mit dem Blutdruck gehabt und sei vor ihrem Tod gelähmt gewesen. Indes wären dazu ausführliche und erlebnisbasierte Angaben zu erwarten gewesen. Auch die Angaben zum Spital seien wenig konkret gewesen und die Ausführungen zur Beerdigung hätten keinerlei Realkennzeichen enthalten. Zusammenfassend könne ihm nicht geglaubt werden, dass er Guinea aufgrund des Todes seiner Mutter verlassen habe. Es sei deshalb davon auszugehen, dass es sich um einen konstruierten Sachverhalt handle und er unter anderen Umständen ausgereist sei. Insofern er sich auf ein schwieriges Verhältnis zu seinem Stiefvater berufe, mache er damit rein persönliche Probleme geltend. Daraus ergebe sich nicht, dass er aufgrund dessen bei einer Rückkehr nach Guinea konkret etwas zu befürchten hätte. Eine asylbeachtliche Verfolgung im Sinne von Art. 3 AsylG liege deshalb nicht vor.</w:t>
      </w:r>
    </w:p>
    <w:p>
      <w:r>
        <w:rPr>
          <w:b/>
        </w:rPr>
        <w:t>E. 6.3</w:t>
      </w:r>
    </w:p>
    <w:p>
      <w:r>
        <w:t>Der Beschwerdeführer bringt in der Rechtsmitteleingabe vor, er habe an der Anhörung Angst gehabt, gewisse Probleme anzusprechen. Der Sohn des zweiten Ehemannes seiner Mutter habe ihm gedroht, er werde seiner verstorbenen Mutter folgen, falls er das Haus nicht verlasse. Da ihn dies verletzt habe, habe er ihn mit einem Messer angegriffen. Der Stiefbruder sei zu Boden gefallen und habe geblutet. Eine Nachbarin habe ihm geraten, zu flüchten, da die Eltern des Verletzten ihm sonst etwas antun würden. Danach habe ihn die Polizei gesucht, um ihn zu inhaftieren. Falls er zurückkehren würde, müsste er ins Gefängnis oder sie würden ihn töten.</w:t>
      </w:r>
    </w:p>
    <w:p>
      <w:r>
        <w:rPr>
          <w:b/>
        </w:rPr>
        <w:t>E. 6.4</w:t>
      </w:r>
    </w:p>
    <w:p>
      <w:r>
        <w:t>In der Rechtsmitteleingabe substantiiert der Beschwerdeführer die geltend gemachte Angst nicht. Gründe für eine solche sind denn auch den Akten nicht zu entnehmen. Zu Beginn der Anhörung wurde der Beschwerdeführer einerseits auf seine Mitwirkungs- und Wahrheitspflicht hingewiesen. Andererseits wurde er darauf aufmerksam gemacht, dass alle Anwesenden seine Angaben vertraulich zu behandeln hätten und seine Aussagen nicht an die heimatlichen Behörden weitergeleitet würden, weshalb er frei sprechen könne. Vor diesem Hintergrund vermag der Beschwerdeführer aus seinem Erklärungsversuch nichts zu seinen Gunsten abzuleiten. Sowohl die Gründe für das Verschweigen der Vorbringen als auch die geltend gemachte Angst sind mit dem Stellen eines Asylgesuchs nicht vereinbar, mithin sind die diesbezüglichen Ausführungen als nachgeschobene Sachverhaltsanpassungen zu qualifizieren. Selbst wenn sich die Messerstecherei tatsächlich zugetragen haben sollte, ist festzustellen, dass es sich dabei um ein gemeinrechtliches Delikt handelt, mithin allfällige staatliche Strafverfolgungsmassnahmen als rechtsstaatlich legitim zu qualifizieren sind. Dafür, dass einem allfälligen Strafverfahren ein Verfolgungsmotiv aus einem Grund nach Art. 3 AsylG zugrunde liegen würde, sind den Akten keine Hinweise zu entnehmen. Weitergehend äussert sich der Beschwerdeführer in der Rechtsmitteleingabe weder zu den von der Vorinstanz festgestellten Unstimmigkeiten in seinen Aussagen noch zum Schluss, er erfülle die Voraussetzungen zur Anerkennung als Flüchtling nicht. Den Akten sind keine Hinweise zu entnehmen, wonach diese Würdigung nicht zutreffen würde. Um Wiederholungen zu vermeiden, kann auf die zutreffenden Erwägungen in der angefochtenen Verfügung verwiesen werden. Die Vorinstanz hat die Flüchtlingseigenschaft des Beschwerdeführers demnach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Guinea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Vorinstanz führte in ihrer Verfügung zum Wegweisungsvollzug im Wesentlichen aus, dass weder die in Guinea herrschende politische Situation noch andere Gründe gegen die Zumutbarkeit der Rückführung dorthin sprächen. Im Vorfeld der Präsidentschaftswahlen vom 11. Oktober 2015 sei es zu einigen gewaltsamen Ausschreitungen gekommen. Der Urnengang und die Verkündigung der Resultate seien allerdings ruhig verlaufen. Soweit es am 21. und 22. Februar 2017 in B._______ zu einem Gewaltausbruch zwischen jugendlichen Demonstranten und Sicherheitskräften gekommen sei, habe dies in Zusammenhang mit der Verschiebung von Wahlen, einem Streik der Lehrergewerkschaften, der Schliessung der Schulen und ethnischen Spannungen gestanden. Wenn auch künftig vereinzelte gewaltsame Zusammenstösse nicht ausgeschlossen werden könnten, herrsche in Guinea keine Situation von Krieg, Bürgerkrieg oder allgemeiner Gewalt im Sinne von Art. 83 Abs. 4 AuG. Ferner würden auch keine individuellen Faktoren gegen die Zumutbarkeit des Wegweisungsvollzugs sprechen. Es handle sich beim Beschwerdeführer um einen jungen, gesunden Mann, der mehrere Jahre die Schule besucht und bereits Arbeitserfahrung gesammelt habe. Es bestehe für ihn daher die Möglichkeit, sich bei einer Rückkehr nach Guinea eine wirtschaftliche Lebensgrundlage aufzubauen. Zudem könnten ihm die Angaben zum Tod seiner Mutter nicht geglaubt werden.</w:t>
      </w:r>
    </w:p>
    <w:p>
      <w:r>
        <w:rPr>
          <w:b/>
        </w:rPr>
        <w:t>E. 8.4.2</w:t>
      </w:r>
    </w:p>
    <w:p>
      <w:r>
        <w:t>Gemäss ständiger Rechtsprechung (vgl. satt vieler Urteil des BVGer D-2700/2016 vom 24. November 2016) und auch unter Berücksichtigung der aktuellsten Lage geht das Gericht davon aus, dass in Guinea keine Situation von Krieg, Bürgerkrieg oder allgemeiner Gewalt herrscht (vgl. zuletzt Urteil des BVGer D-218/2018 vom 22. Januar 2018). Insoweit sowie bezüglich der persönlichen Situation des Beschwerdeführers schliesst sich das Gericht der Beurteilung der Vorinstanz vollumfänglich an. Darüber hinaus ist festzustellen, dass der Beschwerdeführer auch angab, er stehe in Kontakt zu Freunden in Guinea. Der Vollzug der Wegweisung erweist sich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(Art. 65 Abs. 1) und die Einsetzung eines amtlichen Rechts-beistandes (Art. 110a Abs. 1 AsylG). Aus den vorstehenden Erwägungen ergibt sich, dass seine Begehren als aussichtslos zu gelten haben. Damit ist eine der kumulativ zu erfüllenden Voraussetzungen nicht gegeben, weshalb die Gesuche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die Erhebung eines Kostenvorschusses zu verzichten,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