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E-2087/2015 vom 23. April 2015</w:t>
      </w:r>
    </w:p>
    <w:p>
      <w:r>
        <w:t>Bundesverwaltungsgericht, 2015-04-23, DE</w:t>
      </w:r>
    </w:p>
    <w:p>
      <w:r>
        <w:rPr>
          <w:b/>
        </w:rPr>
        <w:t xml:space="preserve">Quelle: </w:t>
      </w:r>
      <w:r>
        <w:t>https://mcp.opencaselaw.ch/entscheid/bvger_E-2087_2015</w:t>
      </w:r>
    </w:p>
    <w:p>
      <w:r>
        <w:t>FR: TAF E-2087/2015 du 23 avril 2015</w:t>
      </w:r>
    </w:p>
    <w:p>
      <w:r>
        <w:t>IT: TAF E-2087/2015 del 23 aprile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Urteil des Bundesverwaltungsgericht D-3622/2011 vom 8. Oktober 2014 E. 5, zur Publikation vorgesehen).</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3.2</w:t>
      </w:r>
    </w:p>
    <w:p>
      <w:r>
        <w:t>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gelangt in der angefochtenen Verfügung zum Schluss, die Vorbringen des Beschwerdeführers hielten den Anforderungen an das Glaubhaftmachen gemäss Art. 7 AsylG nicht stand. Der Beschwerdeführer habe in zentralen Punkten der Asylbegründung widersprüchlich, unlogisch sowie wenig konkret, detailarm und undifferenziert ausgesagt. Namentlich habe er sich darüber unterschiedlich geäussert, ob der Onkel oder der Bruder den anderen geschlagen habe und wer für den Unterhalt der Familie aufgekommen sei. Unvereinbar seien sodann die Vorbringen, wonach der Onkel einerseits das Vermögen des Vaters auf sich habe überschreiben lassen, andererseits die Familie des Beschwerdeführers finanziell unterstützt haben soll. Gleiches gelte in Bezug auf den Zeitpunkt der Heirat im April 2014 und die erst Ende April 2014 erfolgte Ausreise. Generell seien die Aussagen des Beschwerdeführers vage, pauschal sowie allgemein und es würden persönliche Details fehlen, welche den Eindruck vermitteln, der Beschwerdeführer würde über persönlich Erlebtes berichten. Schliesslich würden die Aussagen des Beschwerdeführers betreffend den Zeitpunkt des Beginns der Probleme in Bezug auf die Heirat der Schwester sowie das Datum der Hochzeit weder mit den Angaben der Schwester noch denjenigen der Mutter übereinstimmen.</w:t>
      </w:r>
    </w:p>
    <w:p>
      <w:r>
        <w:rPr>
          <w:b/>
        </w:rPr>
        <w:t>E. 4.2</w:t>
      </w:r>
    </w:p>
    <w:p>
      <w:r>
        <w:t>Der Beschwerdeführer macht zunächst geltend, die Vorinstanz habe seine Asylgründe nicht richtig aufgenommen. Sinngemäss macht er eine unrichtige Feststellung des Sachverhalts geltend. Unrichtig ist die Sachverhaltsfeststellung, wenn der Verfügung ein falscher und aktenwidriger Sachverhalt zugrunde gelegt wird oder Beweise falsch gewürdigt worden sind (Alfred Kölz/Isabelle Häner/Martin Bertschi, Verwaltungsverfahren und Verwaltungsrechtspflege des Bundes, Zürich, 2013, 3. Aufl., Rz. 630). Soweit der Beschwerdeführer zur Begründung der Rüge den bereits aktenkundigen Sachverhalt wiederholt, ist darauf nicht weiter einzugehen. Weitergehend zeigt er nicht auf noch ist ersichtlich, inwieweit der der Verfügung zugrunde gelegte Sachverhalt falsch oder aktenwidrig sein soll. Sodann ersucht der Beschwerdeführer darum, ihm Zeit zur Beschaffung von Beweismitteln als Beleg für seine Gefährdung zu gewähren. Indes substantiiert er diesen Antrag in keiner Weise, weshalb dieser abzuweisen ist. Namentlich legt er nicht dar, um welche Beweismittel es sich handelt und weshalb es ihm im Rahmen des - mehr als sieben Monate lange dauernden - erstinstanzlichen Verfahrens nicht möglich war, diese zu den Akten zu geben. Die Rüge der unrichtigen Sachverhaltsfeststellung erweist sich demnach als unbegründet.</w:t>
      </w:r>
    </w:p>
    <w:p>
      <w:r>
        <w:rPr>
          <w:b/>
        </w:rPr>
        <w:t>E. 4.3</w:t>
      </w:r>
    </w:p>
    <w:p>
      <w:r>
        <w:t>Weiter macht der Beschwerdeführer sinngemäss geltend, die Vor-instanz habe zu Unrecht auf Unglaubhaftigkeit der Vorbringen geschlossen und damit Bundesrecht verletzt. Die vorinstanzliche Beweiswürdigung ist indes nicht zu beanstanden. In der angefochtenen Verfügung wird im Einzelnen dargelegt, aus welchen Gründen die Vorbringen des Beschwerdeführers widersprüchlich, unlogisch, unsubstantiiert und damit nicht glaubhaft sind. Mit diesen Erwägungen setzt sich der Beschwerdeführer in der Rechtsschrift nicht auseinander, sondern beschränkt sich auf das Wiederholen des aktenkundigen Sachverhalts und dem neuen Vorbringen, auch er sei vom Onkel mit dem Tod bedroht worden. Mit dem Wiederholen der Vorbringen legt der Beschwerdeführer indes nicht substantiiert dar, inwiefern die Vorinstanz zu Unrecht auf Unglaubhaftigkeit geschlossen hat. Um diesbezüglich Wiederholungen zu vermeiden, kann auf die zutreffenden Erwägungen in der angefochtenen Verfügung verwiesen werden. Was die Drohungen des Onkels anbelangen, so hat der Beschwerdeführer solche im Rahmen der Befragungen nie vorgebracht, mithin handelt es sich dabei um eine nachgeschobene und damit nicht glaubhafte Sachverhaltsanpassung. Die Vor-instanz hat das Asylgesuch demnach zu Recht abgelehnt.</w:t>
      </w:r>
    </w:p>
    <w:p>
      <w:r>
        <w:rPr>
          <w:b/>
        </w:rPr>
        <w:t>E. 5</w:t>
      </w:r>
    </w:p>
    <w:p>
      <w:r>
        <w:t>Gemäss Art. 44 AsylG verfügt die Vorinstanz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Vor-instanz hat die Anordnung der Wegweisung demnach zu Recht verfügt.</w:t>
      </w:r>
    </w:p>
    <w:p>
      <w:r>
        <w:rPr>
          <w:b/>
        </w:rPr>
        <w:t>E. 6.1</w:t>
      </w:r>
    </w:p>
    <w:p>
      <w:r>
        <w:t>Der Vollzug der Wegweisung ist nach Art. 83 Abs. 3 AuG (SR 142.20) unzulässig, wenn völkerrechtliche Verpflichtungen der Schweiz einer Weiterreise der Ausländerin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Aus den Aussagen des Beschwerdeführers und den Akten ergeben sich keine konkreten Anhaltspunkte dafür, dass er für den Fall einer Ausschaffung in den Sudan dort mit beachtlicher Wahrscheinlichkeit einer nach Art. 3 EMRK oder Art. 1 FoK verbotenen Strafe oder Behandlung ausgesetzt wäre. Der Vollzug der Wegweisung ist zulässig.</w:t>
      </w:r>
    </w:p>
    <w:p>
      <w:r>
        <w:rPr>
          <w:b/>
        </w:rPr>
        <w:t>E. 6.2</w:t>
      </w:r>
    </w:p>
    <w:p>
      <w:r>
        <w:t>Der Vollzug der Wegweisung kann nach Art. 83 Abs. 4 AuG unzumutbar sein, wenn der Ausländer oder die Ausländerin im Heimat- oder Herkunftsstaat auf Grund von Situationen wie Krieg, Bürgerkrieg, allgemeiner Gewalt und medizinischer Notlage konkret gefährdet sind. Die Vorinstanz hat den Vollzug der Wegweisung als zumutbar erachtet. Dazu äussert sich der Beschwerdeführer in der Rechtsmitteleingabe nicht. Um Wiederholungen zu vermeiden, kann auf die Erwägungen in der angefochtenen Verfügung verwiesen werden. Der Vollzug der Wegweisung ist zumutbar.</w:t>
      </w:r>
    </w:p>
    <w:p>
      <w:r>
        <w:rPr>
          <w:b/>
        </w:rPr>
        <w:t>E. 6.3</w:t>
      </w:r>
    </w:p>
    <w:p>
      <w:r>
        <w:t>Nach Art. 83 Abs. 2 AuG ist der Wegweisungsvollzug schliesslich auch als möglich zu bezeichnen. Es obliegt dem Beschwerdeführer, sich bei der zuständigen sudanesischen Vertretung die für eine Rückkehr notwendigen Reisedokumente zu beschaffen (vgl. Art. 8 Abs. 4 AsylG und dazu BVGE 2008/34 E. 12).</w:t>
      </w:r>
    </w:p>
    <w:p>
      <w:r>
        <w:rPr>
          <w:b/>
        </w:rPr>
        <w:t>E. 6.4</w:t>
      </w:r>
    </w:p>
    <w:p>
      <w:r>
        <w:t>Zusammenfassend hat die Vorinstanz den Wegweisungsvollzug zu Recht als zulässig, zumutbar und möglich erachtet. Die Anordnung einer vorläufigen Aufnahme fällt damit ausser Betracht (Art. 83 Abs. 1 - 4 AuG).</w:t>
      </w:r>
    </w:p>
    <w:p>
      <w:r>
        <w:rPr>
          <w:b/>
        </w:rPr>
        <w:t>E. 7</w:t>
      </w:r>
    </w:p>
    <w:p>
      <w:r>
        <w:t>Nach dem Gesagten ergibt sich, dass die angefochtene Verfügung Bundesrecht nicht verletzt und auch sonst nicht zu beanstanden ist (Art. 106 Abs. 1 AsylG). Die Beschwerde ist abzuweisen.</w:t>
      </w:r>
    </w:p>
    <w:p>
      <w:r>
        <w:rPr>
          <w:b/>
        </w:rPr>
        <w:t>E. 8</w:t>
      </w:r>
    </w:p>
    <w:p>
      <w:r>
        <w:t>Bei diesem Ausgang des Verfahrens sind die Kosten dem Beschwerdeführer aufzuerlegen (Art. 63 Abs. 1 VwVG). Aufgrund der identischen Beschwerdeeingaben rechtfertigt es sich, die Verfahrenskosten zu reduzieren und auf insgesamt Fr. 300.-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