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E-2085/2025 vom 23. Juni 2025</w:t>
      </w:r>
    </w:p>
    <w:p>
      <w:r>
        <w:t>Bundesverwaltungsgericht, 2025-06-23, DE</w:t>
      </w:r>
    </w:p>
    <w:p>
      <w:r>
        <w:rPr>
          <w:b/>
        </w:rPr>
        <w:t xml:space="preserve">Quelle: </w:t>
      </w:r>
      <w:r>
        <w:t>https://mcp.opencaselaw.ch/entscheid/bvger_E-2085_2025</w:t>
      </w:r>
    </w:p>
    <w:p>
      <w:r>
        <w:t>FR: TAF E-2085/2025 du 23 juin 2025</w:t>
      </w:r>
    </w:p>
    <w:p>
      <w:r>
        <w:t>IT: TAF E-2085/2025 del 23 giugno 2025</w:t>
      </w:r>
    </w:p>
    <w:p>
      <w:pPr>
        <w:pStyle w:val="Heading2"/>
      </w:pPr>
      <w:r>
        <w:t>Regeste</w:t>
      </w:r>
    </w:p>
    <w:p>
      <w:r>
        <w:t>Asyl und Wegweisung</w:t>
      </w:r>
    </w:p>
    <w:p>
      <w:pPr>
        <w:pStyle w:val="Heading2"/>
      </w:pPr>
      <w:r>
        <w:t>Erwägungen</w:t>
      </w:r>
    </w:p>
    <w:p>
      <w:r>
        <w:rPr>
          <w:b/>
        </w:rPr>
        <w:t>E. 16</w:t>
      </w:r>
    </w:p>
    <w:p>
      <w:r>
        <w:t>Oktober 2017 E. 9.5 zu verweisen ist, in welchen festgestellt wurde, dass der Wegweisungsvollzug sowohl in die Nord- als auch in die Ostpro- 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dass der Beschwerdeführer, der aus der Nordprovinz stammt und teils im Vanni-Gebiet aufgewachsen ist, jung und – soweit ersichtlich – gesund ist, in seinem Heimatland seinen Angaben zufolge die Schule und teils eine Ausbildung als […] abgeschlossen hat, seine Familie wohlhabend ist und er zudem zuletzt bei seiner vermögenden Grossmutter in C.______ (Ost- provinz) gelebt hat und in der Schweiz über seine Eltern und Geschwister sowie in D._______ über einen Bruder verfügt, die ihn bei einer Rückkehr materiell ebenfalls unterstützen dürften (vgl. SEM-act. 35/11 F3 f., F6, F15, F33 ff.; act. 39/12 F2, F7),</w:t>
      </w:r>
    </w:p>
    <w:p>
      <w:r>
        <w:t>E-2085/2025 Seite 12 dass damit nicht davon auszugehen, er werde bei einer Rückkehr in eine existenzielle Notlage geraten, dass es schliesslich dem Beschwerdeführer obliegt, sich bei der zuständi- gen Vertretung des Heimatstaates die für eine Rückkehr notwendigen Rei- sedokumente zu beschaffen (vgl. Art. 8 Abs. 4 AsylG und dazu auch BVGE 2008/34 E. 12), weshalb der Vollzug der Wegweisung auch als möglich zu bezeichnen ist (Art. 83 Abs. 2 AuG), dass die Vorinstanz den Vollzug der Wegweisung demnach zu Recht als zulässig, zumutbar und möglich erachtet hat und damit die Anordnung der vorläufigen Aufnahme ausser Betracht fällt (Art. 83 Abs. 1–4 AIG), dass demzufolge die angefochtene Verfügung Bundesrecht nicht verletzt, den rechtserheblichen Sachverhalt richtig sowie vollständig feststellt (Art. 106 Abs. 1 AsylG) und – soweit überprüfbar – angemessen ist, wes- halb die Beschwerde – soweit auf diese einzutreten ist – abzuweisen ist, dass mit vorliegendem Entscheid das Gesuch um Erlass des Kostenvor- schusses gegenstandslos wird, dass die Gesuche um unentgeltliche Prozessführung und Rechtsverbei- ständung abzuweisen sind, da – ungeachtet der belegten Bedürftigkeit – die Rechtsbegehren als aussichtslos zu bezeichnen waren, dass bei diesem Ausgang des Verfahrens die Kosten von Fr. 750.– (Art. 1–3 des Reglements vom 21. Februar 2008 über die Kosten und Ent- schädigungen vor dem Bundesverwaltungsgericht [VGKE, SR 173.320.2]) dem Beschwerdeführer aufzuerlegen (Art. 63 Abs. 1 VwVG) sind,</w:t>
      </w:r>
    </w:p>
    <w:p>
      <w:r>
        <w:t>(Dispositiv nächste Seite)</w:t>
      </w:r>
    </w:p>
    <w:p>
      <w:r>
        <w:t>E-2085/2025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