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E-2085/2024 vom 6. März 2024</w:t>
      </w:r>
    </w:p>
    <w:p>
      <w:r>
        <w:t>Bundesverwaltungsgericht, 2024-03-06, DE</w:t>
      </w:r>
    </w:p>
    <w:p>
      <w:r>
        <w:rPr>
          <w:b/>
        </w:rPr>
        <w:t xml:space="preserve">Quelle: </w:t>
      </w:r>
      <w:r>
        <w:t>https://mcp.opencaselaw.ch/entscheid/bvger_E-2085_2024_d20240306</w:t>
      </w:r>
    </w:p>
    <w:p>
      <w:r>
        <w:t>FR: TAF E-2085/2024 du 6 mars 2024</w:t>
      </w:r>
    </w:p>
    <w:p>
      <w:r>
        <w:t>IT: TAF E-2085/2024 del 6 marzo 2024</w:t>
      </w:r>
    </w:p>
    <w:p>
      <w:pPr>
        <w:pStyle w:val="Heading2"/>
      </w:pPr>
      <w:r>
        <w:t>Regeste</w:t>
      </w:r>
    </w:p>
    <w:p>
      <w:r>
        <w:t>Asyl und Wegweisung | Asyl und Wegweisung; Verfügung des SEM vom 6. März 2024</w:t>
      </w:r>
    </w:p>
    <w:p>
      <w:pPr>
        <w:pStyle w:val="Heading2"/>
      </w:pPr>
      <w:r>
        <w:t>Erwägungen</w:t>
      </w:r>
    </w:p>
    <w:p>
      <w:r>
        <w:rPr>
          <w:b/>
        </w:rPr>
        <w:t>E. 10</w:t>
      </w:r>
    </w:p>
    <w:p>
      <w:r>
        <w:t>Mai 2024, E-2523/2024 vom 2. Mai 2024, D-6861/2023 vom 25. April 2024 E. 7.3, D-1725/2024 vom 23. April 2024, E-1049/2024 vom 8. April 2024 E. 7.3), dass, nachdem sich der Beschwerdeführer seinen Angaben nach nicht an die heimatlichen Behörden gewandt hat und ausgereist ist (vgl. SEM-act. 18/10 F4), auch im konkreten Fall nichts auf einen fehlenden Schutzwillen beziehungsweise eine fehlende Schutzfähigkeit der türkischen Behörden hindeutet, dass sich der Beschwerdeführer somit an die Behörden, insbesondere, wie die Vorinstanz zu Recht ausführt, sich mit Hilfe seines Rechtsanwalts an die Staatsanwaltschaft hätte wenden und Schutz einfordern können, dass somit auf das Vorbringen, es sei keine innerstaatliche Schutzalterna- tive verfügbar, nicht weiter eingegangen werden muss, dass der Beschwerdeführer vorliegend nicht aufzuzeigen vermag, dass die heimatlichen Behörden in seinem konkreten Fall nicht schutzfähig gewe- sen seien, und daher das Vorbringen betreffend den Vorfall vom (…) 2023 als flüchtlingsrechtlich nicht relevant zu qualifizieren ist, dass der Beschwerdeführer weiter geltend macht, es seien Verfahren we- gen Präsidentenbeleidigung und Terrorpropaganda gegen ihn hängig, er wisse aber nicht, wie es dazu gekommen sei (vgl. SEM-act. 18/10 F12 und F14),</w:t>
      </w:r>
    </w:p>
    <w:p>
      <w:r>
        <w:t>E-2085/2024 Seite 8 dass sich die Verfahren gemäss dem der Vorinstanz eingereichten Beweis- mittel «(…)» (vgl. SEM-act. ID-009/10) auf das Facebookkonto des Be- schwerdeführers &lt; […] &gt; beziehen, dass im genannten Facebookkonto erst ab dem (…) 2023, rund fünf Mo- nate vor der Ausreise des Beschwerdeführers (am […] 2023), Aktivitäten respektive Veröffentlichungen von politischen Beiträgen in hoher Anzahl festzustellen sind (&lt; […] &gt;; besucht am 3. Juni 2024), dass seine Veröffentlichungen lediglich aus dem Posten bestehender Bei- träge Dritter bestehen und in der überwiegenden Mehrheit keine eigenen Kommentierungen enthalten, dass zwar viele «Freunde» ersichtlich sind, sein Facebookkonto aber keine Reichweite aufweist, da fast alle seine Beiträge keine «Likes» aufweisen, was darauf schliessen lässt, dass diese vor seiner Ausreise nicht öffentlich respektive für seine Freunde nicht einsehbar waren, dass der Zeitraum seiner Facebookaktivität und die nichtvorhandene Reichweite daher den Anschein erwecken, das Konto sei lediglich dazu eingerichtet worden, um ein strafrechtliches Verfahren in der Türkei gegen ihn einleiten zu können respektive um sich flüchtlingsrelevante Gründe zu schaffen, und davon auszugehen ist, er habe mit seinen Veröffentlichun- gen versucht, seine Chancen auf ein künftiges Aufenthaltsrecht in der Schweiz zu verbessern, dass zwar – bei Wahrunterstellung seiner Vorbringen und bei Annahme, die eingereichten Beweismittel seien nicht gefälscht – nicht ausgeschlos- sen werden kann, dass der Beschwerdeführer im Falle einer Rückkehr in die Türkei vorübergehend festgenommen werden könnte, dass aber aus zweierlei Gründen nicht anzunehmen ist, ihm drohe dabei mit hoher Wahrscheinlichkeit eine menschenrechtswidrige Behandlung und Verurteilung, dass erstens in der türkischen Justizpraxis eine Verurteilung nach einge- leitetem Strafverfahren gestützt auf Art. 299 tStGB (Beleidigung des Staatspräsidenten; Türk Ceza Kanunu; türkisches Strafgesetzbuch) nicht quasi automatisch erfolgt und die statistische Wahrscheinlichkeit von un- gefähr einem Drittel die Vermutung nahelegt, dass die türkische Justiz die einzelnen Vorwürfe nicht gänzlich undifferenziert beurteilt (vgl. Urteil des BVGer E-3593/2021 vom 8. Juni 2023 E. 6.2.2 m.w.H.),</w:t>
      </w:r>
    </w:p>
    <w:p>
      <w:r>
        <w:t>E-2085/2024 Seite 9 dass, zweitens, da der Beschwerdeführer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StGB) respektive die Verkündigung des Strafur- teils aufgeschoben werden dürfte (Art. 231 Abs. 5 der türkischen Strafpro- zessordnung; vgl. Urteile des BVGer E-90/2023 vom 14. März 2023 E. 6.1 S. 9 f., D-2098/2021 vom 24. November 2022 E. 3 und 5.3.4), dass nach dem Gesagten ein allfälliges Strafverfahren wegen Präsidenten- beleidigung im Sinne von Art. 3 AsylG flüchtlingsrechtlich nicht relevant ist, dass betreffend Ermittlungsverfahren hinsichtlich Terrorpropaganda festzustellen ist, dass der Beschwerdeführer zuvor in der Türkei strafrechtlich nicht in Erscheinung getreten ist (vgl. SEM-act. 18/10 F15), weshalb auch die Anordnung einer Untersuchungshaft nach seiner Rückkehr unwahrscheinlich scheint, dass dem vorgebrachten Ermittlungsverfahren wegen Terrorpropaganda ebenfalls seine Beiträge auf Facebook zugrunde liegen (vgl. SEM-act. ID- 009/10), dass aufgrund seiner Beiträge in den sozialen Medien nach der Ausreise zwar allenfalls ein staatsanwaltschaftliches Untersuchungsverfahren wegen Terrorpropaganda gemäss Art. 7/2 des Antiterrorgesetzes gegen den Beschwerdeführer eingeleitet worden ist, dass die in diesem Zusammenhang ausschliesslich in Kopie zu den Akten gereichten Beweismittel mangels Fälschungssicherheit aber nur einen geringen Beweiswert aufweisen, dass im Übrigen unklar ist, ob die Untersuchungen in absehbarer Zeit überhaupt zur Eröffnung eines Gerichtsverfahrens und allenfalls zu einer späteren Verurteilung aus einem flüchtlingsrechtlich relevanten Motiv führen, dass darüber hinaus Untersuchungsverfahren in der Türkei häufig eingestellt werden (vgl. statt vieler Urteil des BVGer E-6071/2023 vom 16. November 2023, E. 7.2.),</w:t>
      </w:r>
    </w:p>
    <w:p>
      <w:r>
        <w:t>E-2085/2024 Seite 10 dass der Umstand, dass der Beschwerdeführer erst wenige Monate vor seiner Ausreise (regimekritische) Beiträge in den sozialen Medien teilte (vgl. supra), darüber hinaus das Gericht vermuten lässt, er habe damit be- wusst versucht, Fluchtgründe zu schaffen, und davon auszugehen ist, er habe mit seinen Veröffentlichungen versucht, seine Chancen auf ein künf- tiges Aufenthaltsrecht in der Schweiz zu verbessern, dass das Verhalten des Beschwerdeführers, die Anerkennung der Flücht- lingseigenschaft auf diese Weise nachträglich erwirken zu wollen, sich in Anbetracht der konkreten Umstände als rechtsmissbräuchlich erweist (vgl. Urteil des BVGer D-2098/2021 vom 24. November 2022 E. 5.3.3), dass unter Hinweis auf den allgemeinen Rechtsgrundsatz, wonach Rechts- missbrauch keinen Schutz verdient, im vorliegenden Fall nicht vorschnell auf eine asylrechtlich relevante Gefährdung des Beschwerdeführers ge- schlossen werden darf, dass sich nach dem Gesagten ergibt, dass der Beschwerdeführer auch im Zusammenhang mit dem gegen ihn eingeleiteten Ermittlungsverfahren we- gen Propaganda zugunsten einer terroristischen Organisation nicht mit überwiegender Wahrscheinlichkeit mit ernsthaften Nachteilen im Sinne von Art. 3 AsylG zu rechnen hat, dass die entgegenstehenden Ausführungen in der Beschwerde und die auf Beschwerdeebene eingereichten Beweismittel daran nichts zu ändern ver- mögen, dass der Beschwerdeführer somit die Flüchtlingseigenschaft nicht darzu- tun vermag, weshalb die Vorinstanz das Asylgesuch zu Recht abgelehnt hat, dass die Wegweisung ebenfalls rechtmässig und der Vollzug der Wegwei- sung zulässig, zumutbar und möglich ist, und auf Ziffer III der angefochte- nen Verfügung verwiesen werden kann, dass der Beschwerdeführer dazu mehrheitlich seine vorinstanzlichen Vor- bringen wiederholt und nichts Neues geltend macht, dass der Beschwerdeführer zwar an der Anhörung angegeben hat, sein Reisepass sei ihm von den Schleppern abgenommen worden (vgl. SEM- act. 18/10 F32), es aber insbesondere ihm obliegt, sich die für seine Rück- kehr allenfalls benötigten Reisedokumente zu beschaffen (Art. 8 Abs. 4</w:t>
      </w:r>
    </w:p>
    <w:p>
      <w:r>
        <w:t>E-2085/2024 Seite 11 AsylG; vgl. BVGE 2008/34 E. 12), weshalb der Vollzug der Wegweisung auch als möglich zu bezeichnen ist, dass die Anordnung der vorläufigen Aufnahme somit ausser Betracht fällt (Art. 83 Abs. 1-4 AIG [SR 142.20]),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ist (Art. 1–3 des Reglements vom 21. Februar 2008 über die Kosten und Entschädigungen vor dem Bundesverwaltungsgericht [VGKE, SR 173.320.2]), dass der einbezahlte Kostenvorschuss zur Begleichung der Verfahrens- kosten zu verwenden ist. (Dispositiv nächste Seite)</w:t>
      </w:r>
    </w:p>
    <w:p>
      <w:r>
        <w:t>E-2085/2024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