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E-2085/2007 vom 20. Dezember 2010</w:t>
      </w:r>
    </w:p>
    <w:p>
      <w:r>
        <w:t>Bundesverwaltungsgericht, 2010-12-20, DE</w:t>
      </w:r>
    </w:p>
    <w:p>
      <w:r>
        <w:rPr>
          <w:b/>
        </w:rPr>
        <w:t xml:space="preserve">Quelle: </w:t>
      </w:r>
      <w:r>
        <w:t>https://mcp.opencaselaw.ch/entscheid/bvger_E-2085_2007</w:t>
      </w:r>
    </w:p>
    <w:p>
      <w:r>
        <w:t>FR: TAF E-2085/2007 du 20 décembre 2010</w:t>
      </w:r>
    </w:p>
    <w:p>
      <w:r>
        <w:t>IT: TAF E-2085/2007 del 20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Aus prozessökonomischen Gründen wurde auf die Ansetzung ei­ner Frist zur Beschwerdeverbesserung jedoch verzichtet, da der in Englisch verfassten Beschwerdeeingabe genügend klare, sinngemäs­se Rechtsbegehren und deren Begründung zu entnehmen sind und ohne weiteres darüber befunden werden kann. Der vorliegende Ent­scheid ergeht hingegen in deutscher Sprache (vgl. Art. 33a Abs. 2 VwVG i.V.m. Art. 6 AsylG).</w:t>
      </w:r>
    </w:p>
    <w:p>
      <w:r>
        <w:rPr>
          <w:b/>
        </w:rPr>
        <w:t>E. 1.4</w:t>
      </w:r>
    </w:p>
    <w:p>
      <w:r>
        <w:t>Aufgrund des Umstandes, dass sich das Zustellungsdatum nicht ermitteln liess, ist von der Rechtzeitigkeit der formgerecht eingereichten Beschwerde auszugehen. Der Beschwerdeführer ist durch die an­gefochtene Verfügung besonders berührt, hat ein schutzwür­diges Interesse an deren Aufhebung beziehungsweise Änderung und ist da­her zur Einreichung der Beschwerde legitimiert (Art. 105 AsylG i.V.m. Art. 37 VGG und Art. 48 Abs. 1, 50 und 52 VwVG). Auf die Beschwer­de ist einzutreten.</w:t>
      </w:r>
    </w:p>
    <w:p>
      <w:r>
        <w:rPr>
          <w:b/>
        </w:rPr>
        <w:t>E. 1.5</w:t>
      </w:r>
    </w:p>
    <w:p>
      <w:r>
        <w:t>Der Beschwerdeführer richtete seine Beschwerde gemäss Rechtsmittelbelehrung an die vormals zuständige Schweizerische Asylrekurskommission. Am 1. Januar 2007 übernahm das Bundes­verwaltungsgericht jene Verfahren.</w:t>
      </w:r>
    </w:p>
    <w:p>
      <w:r>
        <w:rPr>
          <w:b/>
        </w:rPr>
        <w:t>E. 2.1</w:t>
      </w:r>
    </w:p>
    <w:p>
      <w:r>
        <w:t>In formeller Hinsicht ist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2.2</w:t>
      </w:r>
    </w:p>
    <w:p>
      <w:r>
        <w:t>Im vorliegenden Fall wurde der Beschwerdeführer von der Ver­tretung in Colombo nicht zu seinem Asylgesuch be­fragt. Er wur­de lediglich mittels eines standardisier­ten Schreibens auf­gefordert, detail­liertere Angaben zu den Fluchtgrün­den, zu bisher er­griffenen Schutz­massnahmen und zu einer allfälligen inner­staatlichen Flucht- oder Auf­enthaltsalternative zu machen. Hingegen wurde darauf verzich­tet, den Be­schwerdeführer mittels konkreter, auf seine Asylvorbringen be­zogener Fragen zur weiteren Konkretisierung seiner Asylgrün­de auf­zufordern. Das BFM hat es schliesslich in seiner Verfügung vom 21. Dezember 2006 unterlassen, seinen Verzicht auf eine Befragung zu begründen.</w:t>
      </w:r>
    </w:p>
    <w:p>
      <w:r>
        <w:rPr>
          <w:b/>
        </w:rPr>
        <w:t>E. 2.3</w:t>
      </w:r>
    </w:p>
    <w:p>
      <w:r>
        <w:t>Da der angefochtene Entscheid vor Bekanntwerden des er­wähnten Ur­teils des Bundes­verwaltungsgerichts vom 27. November 2007 gefällt worden ist, finden die darin entwickelten Verfahrens­grundsätze (Aufforderung zur Darstellung der Asylgründe mittels eines individualisierten Schreibens, Begründung des Verzichts auf eine An­hörung durch das BFM) vorliegend keine Anwendung. Vorliegend ist somit nicht von einer Verletzung des rechtlichen Gehörs auszugehen. Überdies hat der Beschwerdeführer mit Verfügung vom 20. Oktober 2010 Gelegenheit bekommen, sich zur Vernehmlassung und allfällig veränderten Verhältnissen im Zusammenhang mit seinem Asylgesuch zu äussern, was er bis zum Vorliegen dieses Urteils nicht getan hat.</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begründete seinen ablehnenden Entscheid mit der feh­lenden Asylrelevanz der Vorbringen des Beschwerdeführers (Art. 3 AsylG) und verzichtete auf eine Prüfung der Glaubhaftigkeit derselben.</w:t>
      </w:r>
    </w:p>
    <w:p>
      <w:r>
        <w:rPr>
          <w:b/>
        </w:rPr>
        <w:t>E. 6.2</w:t>
      </w:r>
    </w:p>
    <w:p>
      <w:r>
        <w:t>Bei den in Art. 3 Abs. 2 AsylG genannten Massnahmen, welche eine Gefährdung von Leib, Leben oder Freiheit bewirken, gilt die gesetzliche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aufweist. Lediglich gerin­ge Beein­trächtigungen genügen dazu nicht, da das Asylrecht nicht Op­fer jegli­chen Unrechts schützen will. Wo die Zumutbarkeitsschwelle liegt, ist im Einzelfall festzulegen, wobei nach den verschiedenen Eingriffsarten zu unterscheiden ist (vgl. Alberto Achermann/ Christina Hausammann, Handbuch des Asylrechts, 2. vollständig überar­beitete Auf­lage, Bern/Stuttgart 1991, S. 77). 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dass die Furcht vor ihm als begründet erscheint, wobei der Eingriff auch hier aus einem der in Art. 3 Abs. 1 AsylG ge­nannten Motive er­folgen muss (vgl. a.a.O., S. 79).</w:t>
      </w:r>
    </w:p>
    <w:p>
      <w:r>
        <w:rPr>
          <w:b/>
        </w:rPr>
        <w:t>E. 6.2.1</w:t>
      </w:r>
    </w:p>
    <w:p>
      <w:r>
        <w:t>Eigenen Angaben zufolge hat der Beschwerdeführer schriftliche und telefon­ische Drohungen erhalten, und es ist zu keiner Situation konkreter Be­drohung oder gar zu Übergriffen auf seine Person gekommen. Weder die körperliche Integrität noch die persön­liche Freiheit des Beschwerdeführers wurden beeinträchtigt, weshalb kein konkreter Ein­griff in geschützte Rechtsgüter vorliegt.</w:t>
      </w:r>
    </w:p>
    <w:p>
      <w:r>
        <w:rPr>
          <w:b/>
        </w:rPr>
        <w:t>E. 6.2.2</w:t>
      </w:r>
    </w:p>
    <w:p>
      <w:r>
        <w:t>Im Folgenden ist zu prüfen, ob der Beschwerdeführer allenfalls begründete Furcht hat, in Zukunft einem asylrelevanten Eingriff aus­gesetzt zu werden. Diesbezüglich ist zunächst zu erwähnen, dass sich die allgemeine Lage in Sri Lanke seit Einreichung des Asylgesuchs massgeblich verändert hat. Die militärische Auseinandersetzung zwischen der srilankischen Armee und der LTTE endete mit der Niederlage der LTTE im Mai 2009. Angesichts dieser veränderten Lage er­scheint es unwahrscheinlich, dass der Beschwer­deführer in abseh­barer Zukunft asylrelevanten Verfolgungsmassnah­men seitens der LTTE oder ihr nahestehender Gruppierungen, wie die Pongi Elum (Tamil) Makkal Padai, ausgesetzt sein wird. Wie das BFM in seinem Entscheid zutreffend feststellte, hat der Beschwerdeführer sodann nicht versucht, sich den Nachstellungen durch eine Verlegung seines Wohnsitzes zu entziehen und ist auch nach seinen beiden Ausland­aufenthalten immer wieder freiwillig an seinen Wohnort und damit an den Ort der geltend gemachten Bedrohung zurückgekehrt. Unter diesen Umständen kann nicht von einer begründeten Furcht des Beschwerde­führers vor zukünftiger Verfolgung ausgegangen werden und seine diesbezüglichen Vorbringen sind als nicht asylrelevant zu be­zeichnen. Im Übrigen kann auf die zutreffenden Erwägungen der Vorinstanz im angefochtenen Entscheid verwiesen werden, ohne diese im Einzelnen zu wiederholen.</w:t>
      </w:r>
    </w:p>
    <w:p>
      <w:r>
        <w:rPr>
          <w:b/>
        </w:rPr>
        <w:t>E. 6.3</w:t>
      </w:r>
    </w:p>
    <w:p>
      <w:r>
        <w:t>Zusammenfassend ist festzuhalten, dass der Beschwerdeführer weder eine bereits erlittene, asylrelevante Verfolgung noch eine objektiv begründete Furcht vor zukünftiger Verfolgung glaubhaft machen konnte, weshalb seine Vorbringen den Anforderungen an die Asylrelevanz gemäss Art. 3 AsylG insgesamt nicht zu genügen ver­mögen. Nach dem Gesagten erübrigt es sich, auf seine weiteren Vor­bringen in seiner Rechtsmitteleingabe einzugehen, weil sie am Er­gebnis nichts ändern können. Die Vorinstanz hat demnach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(Art. 1-3 des Reglements vom 21. Februar 2008 über die Kosten und Entschädigungen vor dem Bundesverwaltungsgericht [VGKE, SR 173.320.2]) dem Beschwerdeführer aufzuerlegen (Art. 63 Abs. 1 VwVG). Aus verwaltungsökonomischen Gründen ist indessen auf die Erhebung von Verfahrenskosten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