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E-2084/2021 vom 22. Juni 2021</w:t>
      </w:r>
    </w:p>
    <w:p>
      <w:r>
        <w:t>Bundesverwaltungsgericht, 2021-06-22, DE</w:t>
      </w:r>
    </w:p>
    <w:p>
      <w:r>
        <w:rPr>
          <w:b/>
        </w:rPr>
        <w:t xml:space="preserve">Quelle: </w:t>
      </w:r>
      <w:r>
        <w:t>https://mcp.opencaselaw.ch/entscheid/bvger_E-2084_2021</w:t>
      </w:r>
    </w:p>
    <w:p>
      <w:r>
        <w:t>FR: TAF E-2084/2021 du 22 juin 2021</w:t>
      </w:r>
    </w:p>
    <w:p>
      <w:r>
        <w:t>IT: TAF E-2084/2021 del 22 giugno 2021</w:t>
      </w:r>
    </w:p>
    <w:p>
      <w:pPr>
        <w:pStyle w:val="Heading2"/>
      </w:pPr>
      <w:r>
        <w:t>Regeste</w:t>
      </w:r>
    </w:p>
    <w:p>
      <w:r>
        <w:t>Asyl (ohne Wegweisungsvollzug)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Die Beschwerdeführer sind als Verfügungsadressaten zur Beschwerdeführung legitimiert (Art. 48 VwVG). Auf die frist- und formgerecht eingereichte Beschwerde ist einzutreten (Art. 108 Abs. 2 AsylG und Art. 52 Abs. 1 VwVG).</w:t>
      </w:r>
    </w:p>
    <w:p>
      <w:r>
        <w:rPr>
          <w:b/>
        </w:rPr>
        <w:t>E. 1.2</w:t>
      </w:r>
    </w:p>
    <w:p>
      <w:r>
        <w:t>Die Beschwerdeführer stellen Antrag auf Vereinigung der Beschwerdeverfahren E-2084/2021 und E-2085/2021, dem hiermit aufgrund des engen sachlichen Zusammenhangs der Vorbringen entsprochen wird.</w:t>
      </w:r>
    </w:p>
    <w:p>
      <w:r>
        <w:rPr>
          <w:b/>
        </w:rPr>
        <w:t>E. 2.1</w:t>
      </w:r>
    </w:p>
    <w:p>
      <w:r>
        <w:t>Die Kognition des Bundesverwaltungsgerichts und die zulässigen Rügen richten sich im Asylbereich nach Art. 106 Abs. 1 AsylG.</w:t>
      </w:r>
    </w:p>
    <w:p>
      <w:r>
        <w:rPr>
          <w:b/>
        </w:rPr>
        <w:t>E. 2.2</w:t>
      </w:r>
    </w:p>
    <w:p>
      <w:r>
        <w:t>Der Wegweisungsvollzug wurde zugunsten der vorläufigen Aufnahme aufgeschoben und bildet deshalb nicht Gegenstand des Beschwerdeverfahrens.</w:t>
      </w:r>
    </w:p>
    <w:p>
      <w:r>
        <w:rPr>
          <w:b/>
        </w:rPr>
        <w:t>E. 2.3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3</w:t>
      </w:r>
    </w:p>
    <w:p>
      <w:r>
        <w:t>Der Antrag der Beschwerdeführer, wonach die Gehörsverletzung im Entscheid über die Kostenverteilung berücksichtigt werden solle, ist nicht näher begründet und wird hiermit abgewiesen. Es ist zwar ein bedauerlicher Umstand, dass jeweils die zweiten Seiten der vorinstanzlichen Verfügungen fehlten und diese den Beschwerdeführern nachgereicht werden mussten. Sie erwähnten in der Beschwerde jedoch selber, die Gehörsverletzung sei damit geheilt. Im Übrigen handelte es sich bei den fehlenden Seiten jeweils um die Zusammenfassung der Sachverhalte, welche sich auch aus den Protokollen ergeben und den Beschwerdeführern zugänglich waren.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Abs. 3 und Art. 3 AsylG).</w:t>
      </w:r>
    </w:p>
    <w:p>
      <w:r>
        <w:rPr>
          <w:b/>
        </w:rPr>
        <w:t>E. 5.1</w:t>
      </w:r>
    </w:p>
    <w:p>
      <w:r>
        <w:t>Die Vorinstanz kommt in den angefochtenen Verfügungen im Wesentlichen zum Schluss, die Verfolgung durch die Familie des Getöteten gründe in der Rache. Nach konstanter bundesverwaltungsgerichtlicher Rechtsprechung mangle es bei privaten Familienfehden am Erfordernis der flüchtlingsrechtlich relevanten Verfolgungsmotivation. Es liege keine Verfolgungsabsicht nach einem der unter Art. 3 AsylG in abschliessender Weise aufgeführten Gründe vor. In Betracht käme allenfalls der Aspekt der Zugehörigkeit zu einer bestimmten sozialen Gruppe. Vorliegend würden sich die Drohungen allerdings gegen den Beschwerdeführer als Individuum richten und nicht als Mitglied seiner Familie und demnach komme der Gruppenaspekt nicht zum Tragen. Es handle sich vielmehr um eine Situation einer klassischen Vergeltungsandrohung gegen den Urheber einer vorangegangenen Tat. Somit könne grundsätzlich die Annahme einer flüchtlingsrechtlich relevanten Drohung ausgeschlossen werden. Die eingereichten Unterlagen und die im Rahmen des rechtlichen Gehörs aufgeworfenen Fragen seien nicht in der Lage, die vorangegangenen Schlussfolgerungen hinsichtlich der Frage der Flüchtlingseigenschaft anderweitig zu beeinflussen. Sie würden hingegen bei der Frage der Zulässigkeit des Wegweisungsvollzugs berücksichtigt werden. Die Bedrohung durch Familienmitglieder der vom Beschwerdeführer getöteten Person sei asylrechtlich nicht relevant und das Vorbringen halte den Anforderungen an die Flüchtlingseigenschaft gemäss Art. 3 AsylG nicht stand.</w:t>
      </w:r>
    </w:p>
    <w:p>
      <w:r>
        <w:rPr>
          <w:b/>
        </w:rPr>
        <w:t>E. 5.2</w:t>
      </w:r>
    </w:p>
    <w:p>
      <w:r>
        <w:t>Auf Beschwerdeebene führen die Beschwerdeführer aus, dass ihnen in formeller Hinsicht die Asylentscheide erst mit E-Mails der Vorinstanz vom 26. April 2021 vollständig eröffnet worden seien. In den ursprünglich zugestellten Asylentscheiden habe jeweils die zweite Seite der Verfügungen gefehlt. Diese seien erst nach dem dritten Akteneinsichtsgesuch nachgereicht worden. Im Hinblick auf den Anspruch auf rechtliches Gehör sowie das Beschwerderecht der Beschwerdeführer erscheine das Verhalten der Vorinstanz problematisch. Die Beschwerdefrist sei aus Sicht der Rechtsvertretung erst mit der Zustellung der vollständigen Entscheide ausgelöst worden. Diese Frage spiele vorliegend jedoch keine Rolle, da die Beschwerde in jedem Fall fristgerecht erhoben worden sei. Durch das Nachreichen der fehlenden Seiten sei auch die Gehörsverletzung geheilt worden. Die Beschwerdeführer bitten das Gericht jedoch, die Gehörsverletzung im Entscheid über die Kostenverteilung zu berücksichtigen, soweit die Beschwerde abgewiesen werden sollte. Es sei eine Beschwerdeschrift für beide Beschwerdeführer eingereicht worden, da die Fälle auf dem gleichen Sachverhalt beruhten und sich rechtlich die gleichen Fragen stellten. In diesem Sinne würden die Beschwerdeführer aus Kosten- und Effizienzgründen die Vereinigung der beiden Beschwerdeverfahren beantragen. Unbestritten sei, dass dem Beschwerdeführer bei einer Rückkehr in den Heimatstaat Verfolgungsmassnahmen durch die Familie des Getöteten und damit eine Verletzung von Art. 3 EMRK drohen würde. Dieser Entscheid sei beachtlich, gelte Albanien laut Art. 6a Abs. 2 Bst. a AsylG i.V.m. Anhang 2 der Asylverordnung 1 vom 11. August 1999 (AsylV 1, SR 142.311) als verfolgungssicherer Heimat- beziehungsweise Herkunftsstaat. Es stelle sich folglich die Frage, warum der funktionierende Rechtsstaat Albanien gerade dem Beschwerdeführer den Schutz verweigere, wenn alle anderen Bürgerinnen und Bürger laut Schweizer Behörden in Albanien Schutz erhielten. Es sei nicht nur zu prüfen, ob sich die privaten Verfolger auf ein flüchtlingsrechtlich relevantes Motiv stützten, sondern auch, ob die Schutzunwilligkeit des albanischen Staates durch ein solches begründet sei. Die Blutrache sei gemäss albanischem Gesetz verboten. Der albanische Staat unternehme jedoch nicht genug, um Personen, die in Blutfehden involviert seien, zu beschützen und Täter strafrechtlich zu verfolgen. Auch die Präventivmassnahmen seien ungenügend. Die Tatsache, dass die betroffenen Personen isoliert leben würden, um sich selbst zu schützen, beweise, dass effektiver und genügender Schutz durch den Staat fehle. Polizei und Richterschaft blieben entweder passiv, um sich keiner Gefahr auszusetzen oder seien selber in Blutfehden involviert. Eine Einmischung in Familienfehden sei für Polizistinnen und Polizisten sehr gefährlich, weshalb die Polizei selten etwas gegen Blutfehden unternehme. Es handle sich um ein Kollektiv von Personen, das sich durch ihre Opfereigenschaft mit einem gemeinsamen sozialen Merkmal auszeichne. Sie würden sozial gemieden, ausgegrenzt und in absolute Isolation gezwungen. Die Eigenschaft als Opfer von Blutrache biete Anknüpfungspunkt und Anlass für eine sachlich nicht gerechtfertigte Diskriminierung betreffend die Schutzwilligkeit des albanischen Staates, wodurch für die Betroffenen eine Gefahr für Leib und Leben und ein unerträglicher psychischer Druck infolge der jahrelangen Isolation entstehe. Die Diskriminierung erfolge aufgrund eines «Anders-Seins» - nämlich der Opfereigenschaft in einer Blutrache - und nicht aufgrund einer vorangegangenen Tat. Der fehlende Schutzwille des albanischen Staates sei Ausdruck des geächteten gesellschaftlichen Status der betroffenen Personen. Betroffene beziehungsweise Opfer von Blutrache müssten als bestimmte soziale Gruppe im Sinne von Art. 3 Abs. 1 AsylG qualifiziert werden. Das Verfolgungsmotiv der Zugehörigkeit zu einer bestimmten sozialen Gruppe sei folglich zu bejahen. Der Beschwerdeführer beziehungsweise seine Angehörigen würden seit mehr als zwanzig Jahren versuchen, eine Konfliktlösung mit der Opferfamilie des Getöteten zu erreichen. Diese verweigere jegliche Versöhnung und beharre darauf, den Tod zu sühnen. Von den albanischen Behörden würde der Schutz verweigert werden. Die Polizei stelle sich auf den Standpunkt, dass sie gegen die Verfolgungsmassnahmen nichts ausrichten könne und unterlasse jegliche Hilfeleistung. Der albanische Staat sei gegenüber den Beschwerdeführern als Opfer von Blutrache schutzunwillig. Alle nahen männlichen Familienmitglieder des Beschwerdeführers hätten das Heimatland verlassen müssen. (...) Brüder seien in I._______ und M._______ als Flüchtlinge anerkannt worden. Es sei stossend, wenn den Beschwerdeführern nicht der gleiche Schutz zuteilwerde. Der Beschwerdeführer sei als Flüchtling anzuerkennen und es sei ihm Asyl zu gewähren. Der Brandanschlag auf das Wohnhaus zeige, dass auch die Beschwerdeführerin und die gemeinsame Tochter im Visier der Familie des Getöteten seien. Sie erfüllten die Flüchtlingseigenschaft demzufolge bereits in eigener Person und es sei ihnen Asyl zu gewähren.</w:t>
      </w:r>
    </w:p>
    <w:p>
      <w:r>
        <w:rPr>
          <w:b/>
        </w:rPr>
        <w:t>E. 6.1</w:t>
      </w:r>
    </w:p>
    <w:p>
      <w:r>
        <w:t>Nach Prüfung der Akten durch das Gericht ist in Übereinstimmung mit der Vorinstanz festzustellen, dass die Asylvorbringen der Beschwerdeführer den Anforderungen an die Flüchtlingseigenschaft gemäss Art. 3 AsylG nicht standzuhalten vermögen, weshalb auf die Erwägungen der Vorinstanz zu verweisen ist. Die Beschwerdevorbringen sind nicht geeignet, zu einer von der Vorinstanz abweichenden Betrachtungsweise zu gelangen.</w:t>
      </w:r>
    </w:p>
    <w:p>
      <w:r>
        <w:rPr>
          <w:b/>
        </w:rPr>
        <w:t>E. 6.2</w:t>
      </w:r>
    </w:p>
    <w:p>
      <w:r>
        <w:t>Das Verfolgungsmotiv «Zugehörigkeit zu einer bestimmten sozialen Gruppe» bezieht sich auf Personen, die ein Kollektiv bilden, das sich durch ein gemeinsames soziales Merkmal auszeichnet, welches Anknüpfungspunkt und Anlass für sachlich nicht gerechtfertigte Verfolgungsmassnahmen bildet. Die Beschwerdeführer versuchen, von Blutrache bedrohte Personen als bestimmte soziale Gruppe im Sinne von Art. 3 Abs. 1 AsylG zu qualifizieren, indem diese Eigenschaft Anknüpfungspunkt und Anlass für eine sachlich nicht gerechtfertigte Diskriminierung durch den albanischen Staat biete. Albanien zählt zu den verfolgungssicheren Staaten (sog. Safe Country) im Sinne von Art. 6a Abs. 2 Bst. a AsylG (vgl. dazu Anhang 2 der AsylV 1). Insofern gilt die Regelvermutung, dass eine flüchtlingsrechtlich bedeutsame staatliche Verfolgung nicht stattfindet und der behördliche Schutz vor nichtstaatlicher Verfolgung gewährleistet ist. Es handelt sich dabei um eine relative Verfolgungssicherheit, weshalb im Einzelfall aufgrund konkreter und substantiierter Hinweise diese Regelvermutung umgestossen werden kann. Es besteht damit keine systematische Verweigerung des Schutzes der von Blutrache bedrohten Personen durch die albanischen Behörden. So wurde auch in zahlreichen bundesverwaltungsgerichtlichen Urteilen die Schutzfähigkeit und -willigkeit des albanischen Staates bei von Blutrache bedrohten Personen bejaht (Urteile des BVGer E-4982/2020 vom 15. Januar 2021 E. 5.1 und E-4687/2019 vom 7. Oktober 2019 E. 4.1). Gemäss vorinstanzlicher Verfügung gelang es den Beschwerdeführern jedoch, diese Regelvermutung umzustossen, indem sie ausnahmsweise hätten glaubhaft machen können die albanischen Behörden würden ihnen den nötigen Schutz nicht gewähren. In der Tat ist kein Staat in der Lage, die Sicherheit der Bürger und Bürgerinnen im Falle von Übergriffen durch Drittpersonen vollumfänglich zu gewährleisten. Aus dem Umstand, dass den Beschwerdeführern vorliegend die nötige Hilfe von den albanischen Behörden nicht zukam, kann jedoch nicht geschlossen werden, dass das Ersuchen um staatlichen Schutz von vornherein ein nutzloses Unterfangen ist oder der albanische Staat seiner Schutzpflicht grundsätzlich nicht nachkommt. Ferner sind weder den Akten noch den eingereichten Beweismitteln Anhaltspunkte für die Annahme zu entnehmen, dass der albanische Staat in diskriminierender Weise allen von Blutrache bedrohten Personen die Hilfe verweigert. Das Vorhandensein des flüchtlingsrechtlich relevanten Verfolgungsmotivs der «Zugehörigkeit zu einer bestimmten sozialen Gruppe» ist folglich zu verneinen. Dass in den Asylverfahren der Brüder des Beschwerdeführers in anderen Staaten aufgrund der drohenden Blutrache die Flüchtlingseigenschaft bejaht wurde, vermag daran nichts zu ändern. Die Beschwerdeführer können daraus nichts für ihre Asylgesuche in der Schweiz ableiten. Abschliessend ist darauf hinzuweisen, dass die Vorinstanz der den Beschwerdeführern bei einer Rückkehr in den Heimatstaat drohenden konkreten Gefahr einer - zwar nicht flüchtlingsrechtlich, aber menschenrechtlich - durch Art. 3 EMRK verbotenen Strafe oder Behandlung durch die Anordnung der vorläufigen Aufnahme wegen Unzulässigkeit beziehungsweise bei den Beschwerdeführerinnen wegen Unzumutbarkeit des Wegweisungsvollzugs Rechnung getragen hat.</w:t>
      </w:r>
    </w:p>
    <w:p>
      <w:r>
        <w:rPr>
          <w:b/>
        </w:rPr>
        <w:t>E. 6.3</w:t>
      </w:r>
    </w:p>
    <w:p>
      <w:r>
        <w:t>Den Beschwerdeführern ist es unter Hinweis auf die vorstehenden Erwägungen insgesamt nicht gelungen, eine im Sinne von Art. 3 AsylG relevante Verfolgungsgefahr nachzuweisen. Es erübrigt sich, auf die weiteren Ausführungen in der Beschwerdeeingabe im Einzelnen einzugehen, weil sie an der vorgenommenen Würdigung des Sachverhalts nichts zu ändern vermögen. Die Vorinstanz hat die Asylgesuche zu Recht abgelehnt.</w:t>
      </w:r>
    </w:p>
    <w:p>
      <w:r>
        <w:rPr>
          <w:b/>
        </w:rPr>
        <w:t>E. 6.4</w:t>
      </w:r>
    </w:p>
    <w:p>
      <w:r>
        <w:t>Lehnt die Vorinstanz das Asylgesuch ab oder tritt es darauf nicht ein, so verfügt es in der Regel die Wegweisung aus der Schweiz und ordnet den Vollzug an; es berücksichtigt dabei den Grundsatz der Einheit der Familie (Art. 44 AsylG).</w:t>
      </w:r>
    </w:p>
    <w:p>
      <w:r>
        <w:rPr>
          <w:b/>
        </w:rPr>
        <w:t>E. 6.5</w:t>
      </w:r>
    </w:p>
    <w:p>
      <w:r>
        <w:t>Die Beschwerdeführer verfügen insbesondere weder über eine ausländerrechtliche Aufenthaltsbewilligung noch über einen Anspruch auf Erteilung einer solchen. Die Wegweisungen wurde demnach ebenfalls zu Recht angeordnet (vgl. BVGE 2013/37 E. 4.4; 2009/50 E. 9).</w:t>
      </w:r>
    </w:p>
    <w:p>
      <w:r>
        <w:rPr>
          <w:b/>
        </w:rPr>
        <w:t>E. 6.6</w:t>
      </w:r>
    </w:p>
    <w:p>
      <w:r>
        <w:t>Die Vorinstanz hat in ihren Verfügungen vom 31. März 2021 die vorläufige Aufnahme der Beschwerdeführer in der Schweiz angeordnet, weshalb sich weitere Ausführungen zum Wegweisungsvollzug - wie bereits in E. 2.2 erwähnt - erübrigen.</w:t>
      </w:r>
    </w:p>
    <w:p>
      <w:r>
        <w:rPr>
          <w:b/>
        </w:rPr>
        <w:t>E. 7</w:t>
      </w:r>
    </w:p>
    <w:p>
      <w:r>
        <w:t>Aus diesen Erwägungen ergibt sich, dass die angefochtenen Verfügungen Bundesrecht nicht verletzen, den rechtserheblichen Sachverhalt richtig sowie vollständig feststellen (Art. 106 Abs. 1 AsylG). Die Beschwerde ist abzuweisen.</w:t>
      </w:r>
    </w:p>
    <w:p>
      <w:r>
        <w:rPr>
          <w:b/>
        </w:rPr>
        <w:t>E. 8.1</w:t>
      </w:r>
    </w:p>
    <w:p>
      <w:r>
        <w:t>Die gestellten Begehren erweisen sich als aussichtslos, weshalb die Gesuche um unentgeltliche Prozessführung und Beiordnung einer amtlichen Rechtsbeiständin ungeachtet einer allfälligen prozessualen Bedürftigkeit abzuweisen sind (Art. 65 Abs. 1 und 2 VwVG).</w:t>
      </w:r>
    </w:p>
    <w:p>
      <w:r>
        <w:rPr>
          <w:b/>
        </w:rPr>
        <w:t>E. 8.2</w:t>
      </w:r>
    </w:p>
    <w:p>
      <w:r>
        <w:t>Bei diesem Ausgang des Verfahrens sind die Kosten von Fr. 750.- (Art. 1-3 des Reglements vom 21. Februar 2008 über die Kosten und Entschädigungen vor dem Bundesverwaltungsgericht [VGKE], SR 173.320.2) den Beschwerdeführern aufzuerlegen (Art. 63 Abs. 1 VwVG).</w:t>
      </w:r>
    </w:p>
    <w:p>
      <w:r>
        <w:rPr>
          <w:b/>
        </w:rPr>
        <w:t>E. 8.3</w:t>
      </w:r>
    </w:p>
    <w:p>
      <w:r>
        <w:t>Das Gesuch um Verzicht auf die Erhebung eines Kostenvorschusses ist mit vorliegendem Urteil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