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E-2083/2014 vom 10. September 2014</w:t>
      </w:r>
    </w:p>
    <w:p>
      <w:r>
        <w:t>Bundesverwaltungsgericht, 2014-09-10, FR</w:t>
      </w:r>
    </w:p>
    <w:p>
      <w:r>
        <w:rPr>
          <w:b/>
        </w:rPr>
        <w:t xml:space="preserve">Quelle: </w:t>
      </w:r>
      <w:r>
        <w:t>https://mcp.opencaselaw.ch/entscheid/bvger_E-2083_2014</w:t>
      </w:r>
    </w:p>
    <w:p>
      <w:r>
        <w:t>FR: TAF E-2083/2014 du 10 septembre 2014</w:t>
      </w:r>
    </w:p>
    <w:p>
      <w:r>
        <w:t>IT: TAF E-2083/2014 del 10 settembre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w:t>
      </w:r>
    </w:p>
    <w:p>
      <w:r>
        <w:t>Les griefs soulevés par la recourante quant à une mauvaise traduction de ses propos, et donc à une violation du droit d'être entendu, ne sont pas fondés. Le Tribunal rappelle que ce droit, prévu à l'art. 29 PA, comprend en particulier, pour le justiciable, le droit de s'expliquer avant qu'une décision soit prise à son détriment, celui de fournir des preuves quant aux faits de nature à influer sur le sort de la cause, celui d'avoir accès à son dossier, de participer à l'administration des preuves, d'en prendre connaissance et de se déterminer à leur propos (cf. A. Moser/M. Beusch/L. Kneubühler, Prozessieren vor dem Bundesverwaltungsgericht, Bâle 2013 ; L. Kneubühler, Gehörsverletzung und Heilung, in Zbl 3/1998, p. 97ss). En l'espèce, le droit d'être entendu n'est pas violé. En effet, lors de l'audition au CEP, l'intéressée a dit parler le swahili dans sa variante tanzanienne, et moins bien comprendre le swahili kényan parlé par l'interprète. Elle a toutefois affirmé maîtriser l'anglais, ce que ses études longues tendent à confirmer ; l'audition a eu lieu en anglais, hors les questions préliminaires, et le procès-verbal lui en a donc été relu en anglais, sans qu'elle exprime d'objections. La seconde audition tenue par l'ODM, le 11 mars 2014, a été menée en anglais ; l'intéressée a dit bien comprendre l'interprète et n'a apporté aucune correction lors de la relecture, le représentant de l'oeuvre d'entraide ne formulant, quant à lui, aucune objection. Aucun élément ne permet donc de retenir que la recourante n'ait pas été en mesure de faire valoir correctement ses motifs lors de l'instruction.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l'intéressée n'a pas été en mesure de faire apparaître la vraisemblance et le sérieux de ses motifs.</w:t>
      </w:r>
    </w:p>
    <w:p>
      <w:r>
        <w:rPr>
          <w:b/>
        </w:rPr>
        <w:t>E. 4.2</w:t>
      </w:r>
    </w:p>
    <w:p>
      <w:r>
        <w:t>En effet, son récit est affecté de plusieurs imprécisions et incohérences, qui en affectent la crédibilité, quand bien même les contradictions que relève l'ODM n'ont pas une grande portée. En premier lieu, le Tribunal n'est pas convaincu que C._______ ait dénoncé la recourante à la police, et qu'elle court un danger de ce chef. En effet, il s'agit d'un politicien connu, membre du Parlement (qu'il a présidé) ancien ministre et président de l'Assemblée constituante, dont il est improbable qu'il se soucie de s'en prendre à la recourante ; en témoigne le fait qu'elle aurait été en mesure de quitter la Tanzanie sans encombres, munie de son passeport personnel. Si C._______ avait eu le projet d'exercer sur elle des représailles, il n'aurait pas favorisé son départ du pays, ainsi que l'intéressée l'affirme dans son recours. Il n'aurait non plus jamais accepté qu'elle s'installe dans sa maison, alors qu'il connaissait sa relation intime passée avec sa fille B._______, et n'aurait pas attendu trois jours pour l'en faire partir, après avoir appris la reprise de cette relation. Il n'est pas non plus logique que le père de la recourante ait dessein de la tuer, ainsi qu'elle l'affirme (audition CEP, pt. 4.07), alors qu'il l'aurait d'abord chassée de la maison, refusant de la revoir. Par ailleurs, le Tribunal n'est pas plus convaincu que l'intéressée ait oublié tous ses documents d'identité et de voyage chez un inconnu qui l'aurait séquestrée après son arrivée en Suisse ; en effet, si tel avait été le cas, elle aurait porté cette affaire à la connaissance de l'autorité de police, ou aurait à tout le moins tenté de situer l'endroit où elle avait été retenue durant plusieurs jours. Qu'elle n'en ait rien fait tend à indiquer que cet épisode est inventé, et que l'intéressée tente bien plutôt de dissimuler les véritables circonstances de son voyage. A l'appui de cette appréciation, le Tribunal retient également que l'intéressée a successivement déclaré avoir oublié chez son agresseur son sac (audition au CEP, pt. 5.03), puis uniquement son portemonnaie, ainsi que son passeport (audition de l'ODM, question 7) ; elle a parallèlement affirmé avoir perdu ce passeport durant son voyage jusqu'en Suisse (audition CEP, pt. 4.02), ce qui n'est pas cohérent. Enfin, la recourante a successivement présenté une de ses partenaires, E._______, comme une domestique, puis comme un membre de sa famille, contradiction affectant un élément essentiel de ses motifs, puisque cet événement aurait mené à sa rupture avec ses proches. La vraisemblance des motifs invoqués ne peut donc être retenue.</w:t>
      </w:r>
    </w:p>
    <w:p>
      <w:r>
        <w:rPr>
          <w:b/>
        </w:rPr>
        <w:t>E. 4.3</w:t>
      </w:r>
    </w:p>
    <w:p>
      <w:r>
        <w:t>S'agissant de leur pertinence, le Tribunal constate que l'état de la législation tanzanienne relative à l'homosexualité n'est pas claire. Aucune loi ne réprime spécifiquement l'homosexualité féminine en Tanzanie continentale (le droit de l'île de Zanzibar comporte toutefois une disposition dans ce sens). De manière générale, le code pénal, à son art. 138A, sanctionne les actes d'indécence grossière ("gross indecensy") d'une peine d'un à cinq ans d'emprisonnement, hors circonstances aggravantes ; aux termes de l'art. 157, la peine minimale est de cinq ans, si les deux participants sont des hommes. Par ailleurs, selon les art. 154-155, l'acte sexuel "against the order of nature" est passible d'une peine minimale de vingt ou trente ans, ou de la détention à vie (cf. National Legislative Bodies Tanzania, Penal Code, http://www.assetrecovery.org/kc/node/18a24920-a342-11dc-bf1b-335d0754ba85.0;jsessionid=5D4BA1537E1F55D95C0D0D22B36218F4, consulté le 3 septembre 2014 ; US State Department, Country Report on Human Rights Practices, 2013). Dans la pratique, ces dispositions pénales visent en priorité les homosexuels masculins et ne sont pas appliquées de manière rigoureuse, les arrestations étant peu courantes ; aucun cas d'application n'a été relevé durant les dernières années (cf. Human Rights Watch, "Treat us like Human Beings", Discrimination against Sex Workers, Sexual and Gender Minorities, and People who use Drugs in Tanzania, 18 juin 2013, http://www.hrw.org/sites/default/files/reports/tanzania0613webwcover_0_0.pdf, consulté le 3 septembre 2014). Dès lors, une éventuelle persécution d'origine étatique est donc peu vraisemblable. Cela étant, les homosexuels n'en soit pas moins discriminés dans la vie quotidienne et les possibilités de formation, ainsi que dans la recherche d'emploi et de logement, et l'accès aux soins (cf. Commission de l'immigration et du statut de réfugié du Canada, Tanzanie : Informations sur le traitement que réservent la société et les autorités gouvernementales aux homosexuels [...], avril 2007 ; Human Rights Watch, op. cit.). Les activistes homosexuels qui attirent l'attention des autorités sont occasionnellement arrêtés par la police et détenus pour de courtes périodes ; il arrive que la police, en échange de son silence sur leur situation, se livre à des actes d'extorsion. Cette situation de discrimination ne peut cependant être en soi assimilée à une persécution.</w:t>
      </w:r>
    </w:p>
    <w:p>
      <w:r>
        <w:rPr>
          <w:b/>
        </w:rPr>
        <w:t>E. 4.4</w:t>
      </w:r>
    </w:p>
    <w:p>
      <w:r>
        <w:t>Seule une persécution par des particuliers, que les autorités encourageraient ou toléreraient (cf. Jurisprudence et informations de la Commission suisse de recours en matière d'asile [JICRA] 2006 n° 18 consid. 10 p. 201-204), pourrait ainsi entrer en considération. Or le Bakwata (National Muslim Council of Tanzania, en swahili Baraza Kuu Ia Waislamu Tanzania), n'est pas, comme l'indique la recourante (cf. audition du 11 mars 2014, question 70) un groupe activiste spécifiquement homophobe, mais une organisation islamique tanzanienne légale et bien connue, établie de longue date et active sur tout le territoire. Elle gère, entre autres institutions, un vaste réseau de mosquées et plusieurs écoles. Elle agit en étroite collaboration avec l'Etat, collabore avec les représentations diplomatiques étrangères et les organisations non gouvernementales, et est couramment considérée comme une émanation du parti gouvernemental Chama Cha Mapinduzi (CCM) ; sa modération l'expose aux critiques des groupes extrémistes (cf. René Otayek/Benjamin Soares, Islam, Etat et société en Afrique, éd. Karthala, 2009, p. 220ss, sous http://books.google.ch/books?id=9WF3NnuwIXIC&amp;pg=PA220&amp;lpg=PA220&amp;dq=bakwata+tanzania&amp;source=bl&amp;ots=E1ISvNIP1g&amp;sig=4xX1jnv6KJK QyiuAIjopyIiUK0k&amp;hl=fr&amp;sa=X&amp;ei=wla2U6T2LIW70QXk7YH4Aw&amp;ved =0CEQQ6AEwBDgK#v=onepage&amp;q=bakwata%20tanzania&amp;f=false, consulté le 4 juillet 2014). Bien que fondamentalement hostiles à l'homosexualité, les dirigeants de l'organisation ont apporté leur aide à la prévention du Sida (cf. http://www.institut-fuer-menschenrechte. de/uploads/tx_commerce/prom-practice_islam_hiv _and_aids and_hr_in_tanzania.pdf, consulté le 4 septembre 2014) ; Bakwata semble d'ailleurs n'avoir jamais appelé à la violence contre les homosexuels. Dans ce contexte, aucun indice ne permet donc d'admettre que les dirigeants de cette association se soucient de s'en prendre spécifiquement à la requérante, laquelle n'a fourni aucun indice convaincant dans ce sens. Elle risque certes de se trouver exposée aux discriminations et vexations que connaissent les homosexuels en Tanzanie, mais aucun élément solide ne permet de retenir la vraisemblance d'une persécution, dans la mesure où, comme elle l'a fait jusqu'à son départ, elle maintient la discrétion dans ses relations ; l'homosexualité féminine a d'ailleurs toujours, dans ce pays, été moins stigmatisée que son équivalent masculin.</w:t>
      </w:r>
    </w:p>
    <w:p>
      <w:r>
        <w:rPr>
          <w:b/>
        </w:rPr>
        <w:t>E. 4.5</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7.5</w:t>
      </w:r>
    </w:p>
    <w:p>
      <w:r>
        <w:t>En l'occurrence, le Tribunal retient, comme relevé plus haut, que la haute probabilité d'un risque de ce type n'est pas établie dans le cas de la recourante. Dès lors, l'exécution de son renvoi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8.2</w:t>
      </w:r>
    </w:p>
    <w:p>
      <w:r>
        <w:t>Il est notoire que la Tanzanie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de la recourante. A cet égard, l'autorité de céans relève qu'elle est jeune, au bénéfice d'une bonne formation et n'a pas allégué de problème de santé particulier.</w:t>
      </w:r>
    </w:p>
    <w:p>
      <w:r>
        <w:rPr>
          <w:b/>
        </w:rPr>
        <w:t>E. 8.4</w:t>
      </w:r>
    </w:p>
    <w:p>
      <w:r>
        <w:t>Pour ces motifs, l'exécution du renvoi doit être considérée comme raisonnablement exigible.</w:t>
      </w:r>
    </w:p>
    <w:p>
      <w:r>
        <w:rPr>
          <w:b/>
        </w:rPr>
        <w:t>E. 9</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d'exécution du renvoi, doit être également rejeté.</w:t>
      </w:r>
    </w:p>
    <w:p>
      <w:r>
        <w:rPr>
          <w:b/>
        </w:rPr>
        <w:t>E. 11</w:t>
      </w:r>
    </w:p>
    <w:p>
      <w:r>
        <w:t>Le Tribunal fait droit à la requête de la recourante et admet la requête d'assistance judiciaire partielle, compte tenu de son incapacité à assumer les frais de la procédure et de ce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