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E-2081/2019 vom 31. August 2020</w:t>
      </w:r>
    </w:p>
    <w:p>
      <w:r>
        <w:t>Bundesverwaltungsgericht, 2020-08-31, FR</w:t>
      </w:r>
    </w:p>
    <w:p>
      <w:r>
        <w:rPr>
          <w:b/>
        </w:rPr>
        <w:t xml:space="preserve">Quelle: </w:t>
      </w:r>
      <w:r>
        <w:t>https://mcp.opencaselaw.ch/entscheid/bvger_E-2081_2019</w:t>
      </w:r>
    </w:p>
    <w:p>
      <w:r>
        <w:t>FR: TAF E-2081/2019 du 31 août 2020</w:t>
      </w:r>
    </w:p>
    <w:p>
      <w:r>
        <w:t>IT: TAF E-2081/2019 del 31 agosto 2020</w:t>
      </w:r>
    </w:p>
    <w:p>
      <w:pPr>
        <w:pStyle w:val="Heading2"/>
      </w:pPr>
      <w:r>
        <w:t>Regeste</w:t>
      </w:r>
    </w:p>
    <w:p>
      <w:r>
        <w:t>Exécution du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Le recourant a qualité pour recourir (art. 48 al. 1 PA) et le recours est présenté dans la forme prescrite par la loi (art. 52 al. 1 PA). Le délai légal de recours (anc. art. 108 al. 2 LAsi) a été respecté, puisque le recourant a prouvé que la décision du SEM du 11 février 2019 lui avait été notifiée le 14 février suivant, ainsi que le Tribunal l'a jugé dans son arrêt du 1er mai 2019 (procédure E-1133/2019). Partant, le recours est recevable.</w:t>
      </w:r>
    </w:p>
    <w:p>
      <w:r>
        <w:rPr>
          <w:b/>
        </w:rPr>
        <w:t>E. 2</w:t>
      </w:r>
    </w:p>
    <w:p>
      <w:r>
        <w:t>L'intéressé n'a pas recouru contre la décision du SEM du 11 février 2019 en tant qu'elle n'entre pas en matière sur sa demande d'asile, de sorte que, sous cet angle, elle a acquis force de chose décidée.</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4</w:t>
      </w:r>
    </w:p>
    <w:p>
      <w:r>
        <w:t>Conformément à l'art. 44 LAsi en relation avec l'art. 83 al. 1 LEI (a contrario), l'exécution du renvoi est ordonnée si elle est licite, raisonnablement exigible et possible. Si ces conditions ne sont pas (toutes) réunies, l'admission provisoire doit être prononcée. Celle-ci est réglée par l'art. 83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5.2</w:t>
      </w:r>
    </w:p>
    <w:p>
      <w:r>
        <w:t>Dans la mesure où le recourant n'a pas remis en cause la décision du SEM en tant qu'elle n'entre pas en matière sur sa demande d'asile, le principe de non-refoulement ancré à l'art. 5 LAsi ne trouve pas directement application.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le recourant n'a pas établi la haute probabilité de l'existence d'un véritable risque, concret et sérieux, d'être victime de traitements prohibés par les art. 3 CEDH ou 3 Conv. torture en cas de renvoi dans son pays. En effet, même dans l'hypothèse où ses parents auraient été assassinés en septembre 2015 ainsi qu'il le prétend - la véracité de cette affirmation pouvant demeurer indécise il n'est pas vraisemblable que sa vie serait actuellement menacée par ces meurtriers en cas de retour en Guinée, compte tenu d'abord de l'écoulement de presque cinq ans depuis le drame. De plus, il est rappelé, si tant est besoin, qu'il ignore l'identité du/des assassin/s de ses parents ainsi que les circonstances des meurtres. A cela s'ajoute qu'il a pu séjourner chez sa tante pendant cinq ou six mois (de septembre 2015 à février ou mars 2016) sans être inquiété par le/s meurtrier/s de ses parents. Par ailleurs, l'éventualité qu'il soit à nouveau maltraité par le mari de sa tante ne rend pas pour autant illicite l'exécution du renvoi, le recourant disposant, en tant que personne adulte, des ressources nécessaires pour obtenir, le cas échéant, la protection adéquate et se mettre à l'abri de tels agissements.</w:t>
      </w:r>
    </w:p>
    <w:p>
      <w:r>
        <w:rPr>
          <w:b/>
        </w:rPr>
        <w:t>E. 5.6</w:t>
      </w:r>
    </w:p>
    <w:p>
      <w:r>
        <w:t>Dès lors, l'exécution du renvoi du recourant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6.2</w:t>
      </w:r>
    </w:p>
    <w:p>
      <w:r>
        <w:t>La Guinée a été affectée par divers troubles civils en 2017 et 2018. Toutefois, ce pays ne connaît pas pour autant,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w:t>
      </w:r>
    </w:p>
    <w:p>
      <w:r>
        <w:t>En outre, il ne ressort du dossier aucun élément dont on pourrait inférer que l'exécution du renvoi impliquerait une mise en danger concrète du recourant. A cet égard, le Tribunal relève que l'intéressé, entre-temps devenu majeur, est jeune, a été scolarisé jusqu'en (...) année et a acquis une brève expérience professionnelle en tant qu'aide-maçon pendant deux ou trois mois à Alger. Il n'a pas non plus allégué de problèmes de santé particulier, la simple évocation, en 2017, qu'il avait de l'eau dans les oreilles (pour autant que cela soit encore d'actualité) n'étant de toute évidence par suffisant pour faire obstacle à l'exécution de son renvoi sous l'angle de l'exigibilité (cf. à ce sujet ATAF 2014/26 consid. 7.3 à 7.10 ; 2011/50 consid. 8.1 à 8.3 et réf. cit.). Par ailleurs, il n'a pas rendu vraisemblable l'absence de tout réseau familial et social en Guinée à même de lui venir en aide à son retour. En effet, il a notamment pu retrouver son entraîneur de football de l'époque grâce aux réseaux sociaux, avec qui il est désormais en contact et qui l'a considérablement aidé, afin d'obtenir différents documents. S'il devait être avéré que ses parents sont décédés, le recourant disposerait alors d'un héritage qui devrait pouvoir l'aider à se réinstaller dans son pays, étant précisé que son père était propriétaire de la maison familiale. Il a également des cousins, auprès de qui il devrait pouvoir chercher un soutien initial afin de surmonter les premières difficultés de réadaptation.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2011/50 consid. 8.2, 2010/41 consid. 8.3.6, 2009/52 consid. 10.1, 2008/34 consid. 11.2.2).</w:t>
      </w:r>
    </w:p>
    <w:p>
      <w:r>
        <w:rPr>
          <w:b/>
        </w:rPr>
        <w:t>E. 6.4</w:t>
      </w:r>
    </w:p>
    <w:p>
      <w:r>
        <w:t>Par ailleurs, le recourant étant entre-temps devenu majeur, même sur la base des informations contenues dans les documents produits au stade du recours, la CDE ne s'applicable pas à son cas, puisque l'état de fait déterminant est celui existant au moment du prononcé de l'arrêt.</w:t>
      </w:r>
    </w:p>
    <w:p>
      <w:r>
        <w:rPr>
          <w:b/>
        </w:rPr>
        <w:t>E. 6.5</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Au vu de l'issue de la cause, il y aurait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accordée par décision incidente du 13 juin 2019, il n'est pas perçu de frais (art. 65 al. 1 et 63 al. 2 PA et anc. art. 110a al. 1 LAsi), d'autant plus qu'il ne ressort pas du dossier qu'il ne serait plus indigent.</w:t>
      </w:r>
    </w:p>
    <w:p>
      <w:r>
        <w:rPr>
          <w:b/>
        </w:rPr>
        <w:t>E. 9.2</w:t>
      </w:r>
    </w:p>
    <w:p>
      <w:r>
        <w:t>Pour la même raison, la mandataire a droit à une indemnité pour les frais indispensables liés à la défense des intérêts du recourant, depuis le début du mandat de représentation confié à Caritas Suisse (art. 8 à 11 FITAF). En l'occurrence, sur la base du dossier (vu l'absence d'une note d'honoraires) et d'un tarif horaire de 100 francs (cf. décision incidente du 13 juin 2019, p. 3 s.), le Tribunal fixe le montant des honoraires à 800 francs, à sa charge.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