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E-2080/2012 vom 10. Dezember 2013</w:t>
      </w:r>
    </w:p>
    <w:p>
      <w:r>
        <w:t>Bundesverwaltungsgericht, 2013-12-10, DE</w:t>
      </w:r>
    </w:p>
    <w:p>
      <w:r>
        <w:rPr>
          <w:b/>
        </w:rPr>
        <w:t xml:space="preserve">Quelle: </w:t>
      </w:r>
      <w:r>
        <w:t>https://mcp.opencaselaw.ch/entscheid/bvger_E-2080_2012</w:t>
      </w:r>
    </w:p>
    <w:p>
      <w:r>
        <w:t>FR: TAF E-2080/2012 du 10 décembre 2013</w:t>
      </w:r>
    </w:p>
    <w:p>
      <w:r>
        <w:t>IT: TAF E-2080/2012 del 10 dicembre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(vgl. Art. 83 Bst. d Ziff. 1 des Bundesgerichtsgesetzes vom 17. Juni 2005 [BGG, SR 173.110]; Art. 105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Das Verfahren richtet sich nach dem VwVG, soweit das VGG und das AsylG nichts anderes bestimmen (Art. 37 VGG und Art. 6 AsylG).</w:t>
      </w:r>
    </w:p>
    <w:p>
      <w:r>
        <w:rPr>
          <w:b/>
        </w:rPr>
        <w:t>E. 1.4</w:t>
      </w:r>
    </w:p>
    <w:p>
      <w:r>
        <w:t>Die Beschwerde ist im Verfahren einzelrichterlicher Zuständigkeit mit Zustimmung eines zweiten Richters respektive einer zweiten Richterin zu behandeln, weil sie sich im Ergebnis als offensichtlich begründet erweist (Art. 111 Bst. e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UNO-Hochkommissariat für Flüchtlinge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Die Vorinstanz geht damit selbst davon aus, dass der Sachverhalt, wie er der Verfügung vom 16. März 2012 zugrunde liegt, offensichtlich nicht vollständig festgestellt ist. Denn es besteht kein Zweifel, dass eine neue Lagebeurteilung vor Ort sich auf die konkrete Feststellung des rechtserheblichen Sachverhalts auswirken kann, sei es im Flüchtlings- und Asylpunkt, sei es im Wegweisungsvollzugspunkt.</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3.3</w:t>
      </w:r>
    </w:p>
    <w:p>
      <w:r>
        <w:t>Die Beschwerde ist demnach gutzuheissen. Die angefochtene Verfügung ist aufzuheben, die Sache ist zur vollständigen Sachverhaltsfeststellung sowie zu neuer Entscheidung an die Vorinstanz zurückzuweisen und die vorinstanzlichen Akten sowie das Beschwerdedossier, welches ebenfalls Prozessstoff des vorinstanzlichen Verfahrens bilden wird, werden dem BFM zugestellt. Auf die weiteren Vorbringen in der Rechtsmit­telein­gabe ist aufgrund der vorliegenden Kassation zum heutigen Zeit­punkt nicht näher einzugehen.</w:t>
      </w:r>
    </w:p>
    <w:p>
      <w:r>
        <w:rPr>
          <w:b/>
        </w:rPr>
        <w:t>E. 4.1</w:t>
      </w:r>
    </w:p>
    <w:p>
      <w:r>
        <w:t>Bei diesem Ausgang des Verfahrens sind keine Kosten zu erheben (Art. 63 Abs. 1 und 2 VwVG). Der vom Beschwerdeführer geleistete Kostenvorschuss von Fr. 600.- wird ihm rückerstattet.</w:t>
      </w:r>
    </w:p>
    <w:p>
      <w:r>
        <w:rPr>
          <w:b/>
        </w:rPr>
        <w:t>E. 4.2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des Beschwerdeführers hat keine Kostennote eingereicht. Der entstandene Vertretungsaufwand kann jedoch aufgrund der Akten zuverlässig abgeschätzt werden (Art. 14 Abs. 2 VGKE). Dem Beschwerdeführer ist zu Lasten des BFM unter Berücksichtigung der massgebenden Bemessungsfaktoren (Art. 9 - 13 VGKE) und der Entschädigungspraxis in vergleichbaren Fällen eine Parteientschädigung für den Aufwand seines Rechtsvertreters von insgesamt Fr. 1'500.- (inkl. Auslagen und allfällige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