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E-2079/2007 vom 6. Juli 2007</w:t>
      </w:r>
    </w:p>
    <w:p>
      <w:r>
        <w:t>Bundesverwaltungsgericht, 2007-07-06, DE</w:t>
      </w:r>
    </w:p>
    <w:p>
      <w:r>
        <w:rPr>
          <w:b/>
        </w:rPr>
        <w:t xml:space="preserve">Quelle: </w:t>
      </w:r>
      <w:r>
        <w:t>https://mcp.opencaselaw.ch/entscheid/bvger_E-2079_2007</w:t>
      </w:r>
    </w:p>
    <w:p>
      <w:r>
        <w:t>FR: TAF E-2079/2007 du 6 juillet 2007</w:t>
      </w:r>
    </w:p>
    <w:p>
      <w:r>
        <w:t>IT: TAF E-2079/2007 del 6 luglio 2007</w:t>
      </w:r>
    </w:p>
    <w:p>
      <w:pPr>
        <w:pStyle w:val="Heading2"/>
      </w:pPr>
      <w:r>
        <w:t>Regeste</w:t>
      </w:r>
    </w:p>
    <w:p>
      <w:r>
        <w:t>Familienzusammenführung (Asyl)","Asylgesuch aus dem Ausland und Einreisebewilligung</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vorliegt. Als Vorinstanzen gelten die in Art. 33 und 34 VGG genannten Behörden. Zu den anfechtbaren Entscheiden gehören auch Verfügungen des BFM gestützt auf das ANAG und das Asylgesetz; Entscheide des Bundesverwaltungsgerichts auf dem Gebiet des Ausländerrechts betreffend die Einreise und die vorläufige Aufnahme sowie auf dem Gebiet des Asyls sind endgültig (Art. 105 Abs. 1 AsylG; Art. 83 Bst. c Ziffn. 1 und 3 sowie Bst. d Ziff. 1 des Bundesgerichtsgesetzes vom 17. Juni 2005 [BGG, SR 173.110]).</w:t>
      </w:r>
    </w:p>
    <w:p>
      <w:r>
        <w:rPr>
          <w:b/>
        </w:rPr>
        <w:t>E. 1.2</w:t>
      </w:r>
    </w:p>
    <w:p>
      <w:r>
        <w:t>Auf die am 1. Januar 2007 bereits hängigen Asylverfahren sind die auf diesen Zeitpunkt in Kraft getretenen Bestimmungen der Asylgesetzänderung vom 16. Dezember 2005 anwendbar (Abs. 1 der Übergangsbestimmungen zur Änderung des Asylgesetzes vom 16. Dezember 2005 [AS 2006 4762]); ebenfalls neues Recht gilt für Personen, die im Zeitpunkt des Inkrafttretens der Asylgesetzänderung vom 16. Dezember 2005 sowie der in dessen Anhang Ziff. 1 enthaltenen ANAG-Änderung vorläufig aufgenommen waren (Abs. 4 der Übergangsbestimmungen zur Änderung des ANAG in Anhang Ziff. 1 der Asylgesetzänderung vom 16. Dezember 2005 [AS 2006 4776]).</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die Beschwerdeführer sind legitimiert (Art. 48 und 50 ff. VwVG i.V.m. Art. 6 AsylG ). Auf die Beschwerde ist einzutreten.</w:t>
      </w:r>
    </w:p>
    <w:p>
      <w:r>
        <w:rPr>
          <w:b/>
        </w:rPr>
        <w:t>E. 2</w:t>
      </w:r>
    </w:p>
    <w:p>
      <w:r>
        <w:t>Einleitend ist festzuhalten, dass das Bundesverwaltungsgericht das geltend gemachte Verwandtschaftsverhältnis zwischen der Beschwerdeführerin und dem Beschwerdeführer sowie - damit zusammenhängend - dessen Identität entgegen der Auffassung der Vorinstanz als hinreichend belegt erachtet. Die Vorinstanz zweifelt offenbar unter anderem auch deshalb an der Identität des Beschwerdeführers, weil dieser - wie im Übrigen auch die Beschwerdeführerin - im Verlauf des Verfahrens keine Identitätspapiere eingereicht hat; dabei übersieht sie aber, dass die Mehrheit der illegal aus der Volksrepublik China ausgereisten Tibeter und Tibeterinnen bei ihrer Ankunft in Nepal über keine Identitätspapiere verfügt (vgl. die auch heute noch zutreffende Feststellung der Schweizerischen Asylrekurskommission in Entscheidungen und Mitteilungen der Schweizerischen Asylrekurskommission / EMARK 2005 Nr. 1 E. 4.1.2 S. 8). Die von einem schweizerischen humangenetischen Labor in Zusammenarbeit mit einem nepalesischen Spital durchgeführte Abstammungsuntersuchung vom 23. März 2007 ergab eine Mutterschaftswahrscheinlichkeit von 99.9986%. Die Vorinstanz betrachtet diese Abstammungsuntersuchung, deren Vornahme sie mit Zwischenverfügung vom 27. Oktober 2006 sinngemäss selbst nahegelegt hatte, für den Mutterschaftsnachweis als nicht genügend, wobei sie dies in der Vernehmlassung vom 2. Mai 2007 allein damit begründet, der Abstammungsuntersuchung lägen weder die Protokolle der Probeentnahmen noch die Identifizierungen der Probanden bei. Tatsächlich wurden diese Unterlagen der Eingabe an das BFM vom 5. April 2007, mit welcher die Beschwerdeführer unter anderem auch eine Kopie der Abstammungsuntersuchung vom 23. März 2007 einreichten, nicht beigelegt. Nachdem sie aber am 11. Mai 2007 mit dem Original der Abstammungsuntersuchung nachgereicht wurden, besteht für das Bundesverwaltungsgericht kein Anlass, an der Mutterschaft der Beschwerdeführerin zu zweifeln. Für die Richtigkeit der Identitätsangaben des Beschwerdeführers sprechen überdies neben dem Ergebnis der Abstammungsuntersuchung selbst auch die verschiedenen Bestätigungen, die im Rahmen des erstinstanzlichen Verfahrens zu den Akten gereicht wurden, insbesondere das Schreiben des A._______-Klosters in Kathmandu vom 26. Oktober 2006. Aufgrund der Akten ist im Weiteren davon auszugehen, dass die Beschwerdeführerin spätestens ab dem Jahre 1997 vom biologischen Vater des Beschwerdeführers, mit dem sie nach tibetischem Brauch verheiratet war, getrennt lebte und seither auch keinen Kontakt mehr mit ihm gehabt hat. Dies kann zum einen bereits ihren glaubhaften Schilderungen im Rahmen ihres Asylverfahrens (vgl. Empfangsstellenprotokoll vom 13. Dezember 2001 S. 4 sowie Protokoll der kantonalen Anhörung vom 15. Februar 2002 S. 4 und 9) entnommen werden, die vom BFM in jenem Verfahren nicht angezweifelt wurden (vgl. insbesondere die Erwägungen in der Verfügung des BFM vom 8. Juni 2006, mit welcher das Asylverfahren der Beschwerdeführerin abgeschlossen wurde); zum anderen ist im Rahmen des vorliegenden Verfahrens in nachvollziehbarer Weise beschrieben worden, wie der Anfang 2007 unternommene Versuch, den Vater des Beschwerdeführers ausfindig zu machen, erfolglos geblieben ist. Zwar kann daraus nicht bereits geschlossen werden, der Vater des Beschwerdeführers hätte "konkludent" auf das Sorgerecht verzichtet, wie dies von beschwerdeführender Seite behauptet wird; dennoch ist es den Beschwerdeführern vor diesem Hintergrund nicht zumutbar, die Zustimmung des Vaters des Beschwerdeführers zu dessen allfälliger Ausreise in die Schweiz einzuholen, weshalb an dieser Stelle auch nicht weiter auf die Frage eingegangen zu werden braucht, inwieweit es angesichts des höchstpersönlichen Charakters des Rechts, ein Asylgesuch einzureichen (vgl. dazu im Einzelnen die weiterhin massgeblichen Kriterien gemäss EMARK 1996 Nr. 3 und Nr. 5), überhaupt einer solchen Zustimmung bedürfen würde. Aus entsprechenden Überlegungen kann der Beschwerdeführerin nicht zugemutet werden, eine amtliche Bestätigung ihres alleinigen Sorgerechts einzureichen, zumal von ihr als anerkannter Flüchtling nicht erwartet werden kann, mit den chinesischen Behörden Kontakt aufzunehmen.</w:t>
      </w:r>
    </w:p>
    <w:p>
      <w:r>
        <w:rPr>
          <w:b/>
        </w:rPr>
        <w:t>E. 3</w:t>
      </w:r>
    </w:p>
    <w:p>
      <w:r>
        <w:t>Weiter stellt sich die Frage, ob es sich beim Gesuch vom 20. Oktober 2006, mit welchem hauptsächlich die Bewilligung der Einreise des Beschwerdeführers in die Schweiz beantragt wurde, um ein Gesuch um Familiennachzug und Einbezug in die vorläufige Aufnahme der Beschwerdeführerin handelt, auf das in erster Linie die neuen, am 1. Januar 2007 in Kraft getretenen Bestimmungen von Art. 14c Abs. 3bis ANAG Anwendung finden würden, oder aber um ein Asylgesuch aus dem Ausland, das primär nach Art. 20 Abs. 2 und 3 i.V.m. Art. 3 sowie Art. 52 Abs. 2 AsylG zu beurteilen wäre.</w:t>
      </w:r>
    </w:p>
    <w:p>
      <w:r>
        <w:rPr>
          <w:b/>
        </w:rPr>
        <w:t>E. 3.1</w:t>
      </w:r>
    </w:p>
    <w:p>
      <w:r>
        <w:t>Gemäss Art. 14c Abs. 3bis ANAG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w:t>
      </w:r>
    </w:p>
    <w:p>
      <w:r>
        <w:rPr>
          <w:b/>
        </w:rPr>
        <w:t>E. 3.2</w:t>
      </w:r>
    </w:p>
    <w:p>
      <w:r>
        <w:t>Nach Art. 20 Abs. 2 und 3 AsylG ist die Einreise in die Schweiz zu bewilligen, wenn eine unmittelbare Gefahr für Leib, Leben oder Freiheit aus einem Grund nach Art. 3 Abs. 1 AsylG glaubhaft gemacht wird, das heisst im Hinblick auf die Anerkennung als Flüchtling und Asylgewährung, oder aber wenn für die Dauer einer näheren Abklärung des Sachverhalts ein weiterer Aufenthalt im Wohnsitz- oder Aufenthaltsstaat oder die Ausreise in einen Drittstaat nicht zumutbar erscheint.</w:t>
      </w:r>
    </w:p>
    <w:p>
      <w:r>
        <w:rPr>
          <w:b/>
        </w:rPr>
        <w:t>E. 3.3</w:t>
      </w:r>
    </w:p>
    <w:p>
      <w:r>
        <w:t>Das Prinzip von Treu und Glauben, das gemäss Art. 5 Abs. 3 der Bundesverfassung der Schweizerischen Eidgenossenschaft vom 18. April 1999 (BV, SR 101) als allgemeiner Grundsatz rechtsstaatlichen Handelns gilt und dem darüber hinaus nach Art. 9 BV Grundrechtscharakter zukommt, gebietet ein loyales und vertrauenswürdiges Verhalten im Rechtsverkehr (vgl. Andreas Auer/Giorgio Malinver-ni/Michel Hottelier, Droit constitutionnel suisse, Bd. II, 2. Aufl., Bern 2006, N 1159 ff.; Yvo Hangartner, in: Ehrenzeller/Mastronardi/Schweizer/Vallender [Hrsg.], Die schweizerische Bundesverfassung, Kommentar, Zürich u.a. 2002, N 39 zu Art. 5 BV; Ulrich Häfelin/Georg Müller/Felix Uhlmann, Allgemeines Verwaltungsrecht, 5. Aufl., Zürich 2006, N 622; Elisabeth Chiariello, Treu und Glauben als Grundrecht nach Art. 9 der schweizerischen Bundesverfassung, Bern 2004, S. 224 ff.; René Rhinow, Grundzüge des Schweizerischen Verfassungsrechts, Basel u.a. 2003, N 1788 ff. u. 2397 ff.). In Konkretisierung dieses allgemeinen Verhaltensgebots sind schriftliche Eingaben von Privaten an die Behörden so auszulegen, wie sie nach Treu und Glauben verstanden werden durften und mussten (vgl. BGE 126 II 97 E. 4b S. 104 f., mit weiteren Hinweisen; Rhinow, a.a.O., N 2399; Pierre Moor, Droit administratif, Bd. I, 2. Aufl., Bern 1994, S. 435 f.). Auch wenn es daher für die Auslegung eines Gesuchs nicht allein auf dessen Bezeichnung ankommen kann, so bildet diese doch immerhin ein Interpretationselement unter anderen, das es zu würdigen gilt. Entsprechendes lässt sich zur allfälligen Erwähnung von Gesetzesbestimmungen in einem Gesuch sagen, woran mit Blick auf dessen Auslegung auch der Grundsatz der Rechtsanwendung von Amtes wegen (Art. 62 Abs. 4 VwVG i.V.m. Art. 37 VGG) nichts ändert. Im vorliegenden Zusammenhang ist überdies zu beachten, dass Art. 24 Abs. 3 der Verordnung vom 11. August 1999 über den Vollzug der Weg- und Ausweisung von ausländischen Personen (VVWA, SR 142.281, Fassung gemäss Ziff. I 2 der Verordnung vom 8. November 2006 über die Änderung von Verordnungen im Zusammenhang mit der teilweisen Inkraftsetzung der Änderung vom 16. Dezember 2005 des Asylgesetzes sowie des Krankenversicherungs- und des AHV-Gesetzes, in Kraft seit 1. Januar 2007) mit Blick auf Gesuche um Einbezug in die vorläufige Aufnahme von Familienangehörigen und eingetragenen Partnern von vorläufig aufgenommenen Flüchtlingen im Sinne von Art. 14c Abs. 3bis ANAG ausdrücklich die sinngemässe Geltung von Art. 37 der Asylverordnung 1 über Verfahrensfragen vom 11. August 1999 (AsylV 1, SR 142.311) vorbehält, der besagt, dass ein Einbezug in die Flüchtlingseigenschaft eines Ehegatten, einer eingetragenen Partnerin oder eines eingetragenen Partners oder eines Elternteils nach Art. 51 Abs. 1 AsylG erst erfolgt, wenn in Anwendung von Art. 5 AsylV 1 festgestellt wurde, dass die einzubeziehende Person die Flüchtlingseigenschaft nicht selbstständig nach Art. 3 AsylG erfüllt. Art. 24 Abs. 3 VVWA trägt dem Umstand Rechnung, dass die engsten Familienangehörigen eines Flüchtlings oftmals selbst unter derselben Verfolgung gelitten haben beziehungsweise selbst der Gefahr einer Verfolgung ausgesetzt sind (so bereits die Botschaft zur Totalrevision des Asylgesetzes sowie zur Änderung des Bundesgesetzes über Aufenthalt und Niederlassung der Ausländer vom 4. Dezember 1995, BBl 1996 II 68; ähnlich Ziff. 27 der einleitenden Erwägungen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 grundlegend zu dieser sogenannten Reflexverfolgung EMARK 1994 Nr. 5). Daraus lässt sich im Sinne eines allgemeinen Grundsatzes ableiten, dass einer Prüfung eines allfälligen derivativen Anspruchs auf Anerkennung als Flüchtling stets die Prüfung der originären Flüchtlingseigenschaft, das heisst einer persönlichen Gefährdung nach Art. 3 AsylG vorzugehen hat. Mit anderen Worten wird ein Familiennachzugsgesuch eines vorläufig aufgenommenen Flüchtlings, mit dem unter anderem eine persönliche Gefährdung der sich im Ausland befindenden, nachzuziehenden Familienangehörigen geltend gemacht wird, nach Treu und Glauben gegebenenfalls auch als Asylgesuch aus dem Ausland im Sinne von Art. 20 Abs. 2 und 3 AsylG zu verstehen sein, wofür nicht allein entscheidend sein kann, ob das betreffende Gesuch bei einer schweizerischen Vertretung im Ausland oder aber unmittelbar beim BFM eingereicht wurde (vgl. für die in dieser Hinsicht weiterhin Geltung beanspruchende Praxis der Schweizerischen Asylrekurskommission die Feststellungen in EMARK 1997 Nr. 15 E. 2b S. 129, die sich zwar auf Art. 13a aAsylG beziehen, jedoch auch nach geltendem Asylgesetz weiterhin massgeblich bleiben). Im Falle der Beschwerdeführer ist nicht zu übersehen, dass das Gesuch vom 20. Oktober 2006 ausdrücklich auch als "Asylgesuch (...) gemäss Art. 20 AsylG" bezeichnet worden ist. Aus der Begründung des Gesuchs, so insbesondere aus den Seiten 4 f., geht überdies klar hervor, dass die Einreisebewilligung in erster Linie unter Hinweis auf eine persönliche Gefährdung des sich zurzeit in Nepal aufhaltenden Beschwerdeführers beantragt wurde und die Ausführungen zur Frage des Familiennachzugs nur für den Fall gemacht wurden, dass das Vorliegen einer persönlichen Gefährdung des Beschwerdeführers durch die Asylbehörden verneint würde (vgl. a.a.O. S. 4 f., bzw. vorne Bst. B.). Dies übersieht die Vorinstanz offensichtlich, wenn sie in der Vernehmlassung ausführt, im Gesuch vom 20. Oktober 2006 sei "vor allem von einem möglichen Familiennachzug die Rede" gewesen, und dabei lediglich auf dessen Seiten 5 ff. verweist. Unter besonderer Berücksichtigung von Art. 37 AsylV 1 i.V.m. Art. 24 Abs. 3 VVWA kommt das Bundesverwaltungsgericht damit - wie bereits in der Zwischenverfügung vom 17. April 2007 von der Instruktionsrichterin angedeutet - zum Schluss, dass die Vorinstanz das Gesuch vom 20. Oktober 2006 - allenfalls im Anschluss an eine bei der Schweizer Vertretung zu veranlassende Befragung (vgl. Art. 10 AsylV 1) - gestützt auf Art. 20 Abs. 2 und 3 i.V.m. Art. 3 AsylG sowie gegebenenfalls Art. 52 Abs. 2 AsylG in erster Linie unter dem Gesichtswinkel einer persönlichen Gefährdung des Beschwerdeführers hätte prüfen müssen, was indessen zunächst unterblieben ist und erst im Rahmen des Schriftenwechsels nachgeholt wurde. Im Folgenden jedenfalls wird das Hauptaugenmerk auf diese Frage zu richten und nur subsidiär auf die Frage eines allfälligen Familiennachzugs nach Art. 14c Abs. 3bis ANAG einzugehen sein.</w:t>
      </w:r>
    </w:p>
    <w:p>
      <w:r>
        <w:rPr>
          <w:b/>
        </w:rPr>
        <w:t>E. 4.1</w:t>
      </w:r>
    </w:p>
    <w:p>
      <w:r>
        <w:t>Die Erteilung einer Einreisebewilligung nach Art. 20 Abs. 2 und 3 i.V.m. Art. 3 AsylG ist grundsätzlich an restriktive Voraussetzungen geknüpft. Den Asylbehörden kommt dabei ein weiter Ermessensspielraum zu.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zum Ganzen EMARK 1997 Nr. 15 E. 2f S. 131 f., 2004 Nr. 20 E. 3 S. 130 f. und Nr. 21 E. 2 S. 136 f., 2005 Nr. 19 E. 4 S. 174 ff.).</w:t>
      </w:r>
    </w:p>
    <w:p>
      <w:r>
        <w:rPr>
          <w:b/>
        </w:rPr>
        <w:t>E. 4.2</w:t>
      </w:r>
    </w:p>
    <w:p>
      <w:r>
        <w:t>Die Vorinstanz verneint eine persönliche Gefährdung des Beschwerdeführers nach Art. 3 AsylG in ihrer Vernehmlassung im Wesentlichen aus folgenden Gründen: Gemäss Erkenntnissen des BFM hätten fast alle Tibeter und Tibeterinnen, die aus dem Tibet nach Nepal kämen, die Absicht nach Indien weiterzureisen. Das UNHCR vor Ort unterstütze diese insbesondere bei der Ankunft und der Organisation der Weiterreise, aber auch bei Fragen anderer Art. Tibeter und Tibeterinnen, die nach 1990 in Nepal eingereist seien, dürften grundsätzlich nicht in Nepal bleiben, es sei denn sie verfügten über ein Visum und Reisedokumente. Es könne nicht ausgeschlossen werden, dass Personen beim illegalen Grenzübertritt aufgegriffen und anschliessend den chinesischen Behörden übergeben würden. Dies sei letztmals im Mai 2003 einer Gruppe von 18 Personen zugestossen. Wer sich aber an das UNHCR wende und nicht nach China zurückkehren wolle, könne mit dessen Hilfe nach Indien weiterreisen. Rückführungen von Personen mit langem Aufenthalt in Nepal habe es gemäss Kenntnissen des BFM nicht gegeben. Am geltend gemachten kurzen Aufenthalt des Kindes in Nepal bestünden erhebliche Zweifel, und es sei davon auszugehen, dass es seit längerer Zeit beziehungsweise seit mehreren Jahren ausserhalb Tibets lebe. Bei allfälligen Problemen hätten das Kind und seine Betreuungspersonen zudem die Möglichkeit, sich an das UNHCR in Nepal zu wenden. Das Vorliegen einer Gefährdung des Kindes bei einem weiteren Verbleib in Nepal im Sinne von Art. 20 Abs. 2 und 3 AsylG sei somit zu verneinen.</w:t>
      </w:r>
    </w:p>
    <w:p>
      <w:r>
        <w:rPr>
          <w:b/>
        </w:rPr>
        <w:t>E. 4.3</w:t>
      </w:r>
    </w:p>
    <w:p>
      <w:r>
        <w:t>Das Bundesverwaltungsgericht kann sich der Einschätzung der Vorinstanz nicht anschliessen, sondern gelangt vielmehr aufgrund der Akten zum Schluss, dass der Beschwerdeführer in der Volksrepublik China einer persönlichen Gefährdung im Sinne von Art. 20 Abs. 2 und 3 i.V.m. Art. 3 AsylG ausgesetzt wäre und weder Nepal noch Indien eine für ihn nach Art. 52 Abs. 2 AsylG zumutbare Schutzalternative darstellen.</w:t>
      </w:r>
    </w:p>
    <w:p>
      <w:r>
        <w:rPr>
          <w:b/>
        </w:rPr>
        <w:t>E. 4.3.1</w:t>
      </w:r>
    </w:p>
    <w:p>
      <w:r>
        <w:t>Die Vorinstanz hält einen Verbleib des Beschwerdeführers in Nepal beziehungsweise dessen Weiterreise nach Indien für möglich und zumutbar und hat sich entsprechend mit der Frage, ob und inwieweit dieser bei einer Rückkehr in die Volksrepublik China einer flüchtlingsrechtlich relevanten Gefährdung ausgesetzt sein könnte, nicht erkennbar auseinandergesetzt. Die Prüfung gerade dieser Frage ist aber für eine korrekte Würdigung der Situation des Beschwerdeführers unumgänglich. Auszugehen ist dabei von der ausführlichen Lageanalyse, die von der Schweizerischen Asylrekurskommission Ende 2005 vorgenommen wurde und nach Ansicht des Bundesverwaltungsgerichts auch noch im heutigen Zeitpunkt im Wesentlichen ihre Gültigkeit behält: Personen tibetischer Ethnie erfahren in der Volksrepublik China weitgehende Einschränkungen ihres Rechts auf freie Meinungsäusserung sowie ihrer Versammlungs- und Religionsfreiheit und werden zudem in verschiedener Hinsicht gegenüber der Bevölkerung chinesischer Ethnie benachteiligt. Tibeter und Tibeterinnen, die sich zu ihrer Religion öffentlich bekennen, namentlich öffentlich den Dalai Lama verehren, oder sich mit friedlichen Demonstrationen für mehr Autonomie oder gar die Unabhängigkeit Tibets einsetzen, riskieren nicht nur Schikanen wie beispielsweise Hausdurchsuchungen, sondern darüber hinaus Festnahmen, unfaire Gerichtsverfahren und unverhältnismässig hohe Haftstrafen, verbunden mit Misshandlungen und Folter. Eine darüber hinaus gehende, allein an die tibetische Ethnie anknüpfende Kollektivverfolgung sämtlicher Tibeter und Tibeterinnen ist dagegen zu verneinen. Immerhin erhöht aber die bekannte potenzielle Gefährdung von tibetischen Personen die Wahrscheinlichkeit einer individuellen Gefährdung und kann daher im Einzelfall dazu beitragen, die geltend gemachte Furcht vor Verfolgung als begründet erscheinen zu lassen. Hinzu kommt, dass Personen tibetischer Ethnie, die illegal ausgereist sind und bei den schweizerischen Behörden um Asyl nachsuchen, im Falle einer Rückkehr in die Volksrepublik China grundsätzlich damit rechnen müssen, festgenommen und verhört zu werden; die Wahrscheinlichkeit, dass diese Personen zu einer Freiheitsstrafe wegen illegaler Ausreise und Asylgesuchstellung verurteilt werden und diese Strafe aufgrund der tibetischen Ethnie und der - gerade bei längerem Auslandsaufenthalt - von den chinesischen Sicherheitsorganen unterstellten Dalai-Lama-freundlichen Gesinnung empfindlich sein wird, ist als hoch zu bezeichnen; als wahrscheinlich gelten im Übrigen auch eine menschenrechtswidrige Behandlung während der Haft sowie Unterdrückungsmassnahmen auch nach der Strafverbüssung (vgl. zum Ganzen die ausführlich begründete Einschätzung der Schweizerischen Asylrekurs-kommission in EMARK 2006 Nr. 1 E. 4.5 ff. S. 5 ff.).</w:t>
      </w:r>
    </w:p>
    <w:p>
      <w:r>
        <w:rPr>
          <w:b/>
        </w:rPr>
        <w:t>E. 4.3.2</w:t>
      </w:r>
    </w:p>
    <w:p>
      <w:r>
        <w:t>Der Beschwerdeführer müsste bei einer Rückkehr in die Volksrepublik China bereits wegen seiner gemäss glaubhafter Schilderung illegal erfolgten Ausreise eine behördliche Bestrafung befürchten. Hinzu kommt die Gefahr einer Reflexverfolgung wegen seiner Mutter, der Beschwerdeführerin. Diese lebt bereits seit Ende 2001 in der Schweiz und hat hier - wie erwähnt - um Asyl nachgesucht. Aufgrund dieses langen Auslandsaufenthalts müsste sie in der Volksrepublik China nicht nur mit einer schärferen Bestrafung wegen illegaler Ausreise und Asylgesuchsstellung, sondern auch mit einer Verfolgung wegen des Verdachts einer Dalai-Lama-freundlichen Haltung rechnen, wie denn auch vom BFM - im Rahmen ihres eigenen Asylverfahrens - mit Verfügung vom 8. Juni 2006 festgestellt worden war. Dass ihr Auslandsaufenthalt auch ihre Familienangehörigen in Tibet in Gefahr bringen könnte, hatte die Beschwerdeführerin bereits anlässlich ihrer Anhörung (vgl. Protokoll der kantonalen Anhörung vom 15. Februar 2002 S. 12) sowie mit ihrer gegen die - in der Folge aufgehobene - Verfügung des BFM vom 4. Oktober 2004 gerichtete Beschwerde (vgl. Beschwerdeschrift vom 11. Oktober 2004 S. 1 und 7) geltend gemacht, also einige Zeit vor der Gesuchseinreichung durch den Beschwerdeführer. Diese Gefahr erscheint aufgrund des länderspezifischen Kontexts in Tibet durchaus plausibel. Der Beschwerdeführer wäre damit in der Volksrepublik China einer nach Art. 20 Abs. 2 und 3 i.V.m. Art. 3 AsylG relevanten persönlichen Gefährdung ausgesetzt. Dem Beschwerdeführer kann im Weiteren nicht zugemutet werden, sich bei den Behörden Nepals um Aufnahme zu bemühen. Nach 1989 in Nepal eingereiste Tibeter und Tibeterinnen sind nämlich generell von einer behördlichen Regularisierung ihres als illegal geltenden Aufenthalts ausgeschlossen und müssen nicht zuletzt aufgrund der Tatsache, dass Nepal das Abkommen vom 28. Juli 1951 über die Rechtsstellung der Flüchtlinge (FK, SR 0.142.30) nicht ratifiziert hat, bei einem Verbleib im Lande mit einer Ausschaffung in die Volksrepublik rechnen (vgl. dazu ausführlich EMARK 2005 Nr. 1 E. 4.1 S. 7 ff.). Ob daran ein - von der Vorinstanz angenommener, von beschwerdeführender Seite hingegen bestrittener - längerer (illegaler) Aufenthalt in Nepal etwas zu ändern vermöchte, braucht nicht im Einzelnen beurteilt zu werden, weil es angesichts des mehrjährigen Aufenthalts der Beschwerdeführerin in der Schweiz, die hier - wie erwähnt - als Flüchtling anerkannt worden ist, nicht geboten scheint, den Beschwerdeführer gestützt auf Art. 52 Abs. 2 AsylG auf einen höchst unwahrscheinlichen Schutz durch die nepalesischen Behörden zu verweisen, zumal das BFM im Asylverfahren der Beschwerdeführerin die Voraussetzungen für eine Wegweisung nach Nepal oder in einen anderen Drittstaat als nicht erfüllt erachtet hatte (vgl. Verfügung des BFM vom 8. Juni 2006 E. 2). Angesichts dieser engen Beziehung des Beschwerdeführers zur Schweiz braucht auch nicht weiter auf die Möglichkeit eines - allenfalls durch das UNHCR vermittelten - Schutzes in Indien eingegangen zu werden. Vielmehr ist festzuhalten, dass es insgesamt angezeigt erscheint, dass der vom Beschwerdeführer benötigte Schutz vor Verfolgung durch die Schweiz gewährt wird.</w:t>
      </w:r>
    </w:p>
    <w:p>
      <w:r>
        <w:rPr>
          <w:b/>
        </w:rPr>
        <w:t>E. 5</w:t>
      </w:r>
    </w:p>
    <w:p>
      <w:r>
        <w:t>Da der Beschwerdeführer bereits aufgrund seiner eigenen Gefährdung die Voraussetzungen für eine Bewilligung der Einreise nach Art. 20 Abs. 2 und 3 AsylG erfüllt, erübrigt sich im Übrigen auch eine nähere Prüfung der Frage, ob ihm die Einreise auch nach den Voraussetzungen für einen Familiennachzug nach Art. 14c Abs. 3bis ANAG zu bewilligen wäre. Offen gelassen werden kann daher die von beschwerdeführender Seite aufgeworfene Frage, ob die in Art. 14c Abs. 3bis ANAG vorgesehene dreijährige Wartefrist mit den völkerrechtlichen Verpflichtungen der Schweiz vereinbar ist, wie sie sich insbesondere aus der Flüchtlingskonvention, Art. 8 der Konvention vom 4. November 1950 zum Schutze der Menschenrechte und Grundfreiheiten (EMRK, SR 0.101), Art. 17 und 23 des Internationaler Pakts vom 16. Dezember 1966 über bürgerliche und politische Rechte (SR 0.103.2) sowie Art. 3, 9 und 10 des Übereinkommens vom 20. November 1989 über die Rechte des Kindes (SR 0.107) ergeben.</w:t>
      </w:r>
    </w:p>
    <w:p>
      <w:r>
        <w:rPr>
          <w:b/>
        </w:rPr>
        <w:t>E. 6</w:t>
      </w:r>
    </w:p>
    <w:p>
      <w:r>
        <w:t>Das Begehren des Beschwerdeführers, es sei ihm bei fehlenden Reisepapieren ein "Ersatzreisepapier" auszustellen, ist insofern gutzuheissen, als das BFM anzuweisen ist, ihm die nach der Verordnung vom 14. Januar 1998 über Einreise und Anmeldung von Ausländerinnen und Ausländern (VEA, SR 142.211) für eine Einreise in die Schweiz erforderlichen Papiere auszustellen. Nicht weiter einzugehen ist auf das Begehren dagegen, wenn gleichzeitig auch die Ausstellung von Ausreisepapieren beantragt worden sein sollte, die sich nach ausländischen Ausreisebestimmungen richtet und daher von vornherein nicht Gegenstand des vorliegenden Asylverfahrens sein kann. Entsprechend erübrigt sich an dieser Stelle auch eine nähere Auseinandersetzung mit den von der Vorinstanz vorgebrachten, auf offenbar "restriktive nepalesische Ausreisebestimmungen" zurückzuführende Ausreisehindernissen.</w:t>
      </w:r>
    </w:p>
    <w:p>
      <w:r>
        <w:rPr>
          <w:b/>
        </w:rPr>
        <w:t>E. 7</w:t>
      </w:r>
    </w:p>
    <w:p>
      <w:r>
        <w:t>Nach dem Gesagten ist die Beschwerde im Sinne der vorstehenden Erwägungen gutzuheissen, und die Verfügung des BFM vom 15. Februar 2007 ist aufzuheben. Das BFM ist anzuweisen, dem Beschwerdeführer die Einreise in die Schweiz zu bewilligen, ihm die erforderlichen Einreisepapiere auszustellen und nach dessen Einreise das Verfahren im Hinblick auf die Gewährung von Asyl oder - bei einem allfälligen Vorliegen von Asylausschlussgründen - der vorläufigen Aufnahme fortzusetzen.</w:t>
      </w:r>
    </w:p>
    <w:p>
      <w:r>
        <w:rPr>
          <w:b/>
        </w:rPr>
        <w:t>E. 8.1</w:t>
      </w:r>
    </w:p>
    <w:p>
      <w:r>
        <w:t>Bei diesem Ausgang des Verfahrens sind den Beschwerdeführern keine Kosten aufzuerlegen (vgl. Art. 63 Abs. 1 VwVG i.V.m. Art. 37 VGG).</w:t>
      </w:r>
    </w:p>
    <w:p>
      <w:r>
        <w:rPr>
          <w:b/>
        </w:rPr>
        <w:t>E. 8.2</w:t>
      </w:r>
    </w:p>
    <w:p>
      <w:r>
        <w:t>Den Beschwerdeführern ist angesichts des Obsiegens im Beschwerdeverfahren in Anwendung von Art. 64 Abs. 1 VwVG i.V.m. Art. 37 VGG für die Kosten der Vertretung und allfällige weitere notwendige Auslagen eine Parteientschädigung zuzusprechen (vgl. auch Art. 7 des Reglements vom 11. Dezember 2006 über die Kosten und Entschädigungen vor dem Bundesverwaltungsgericht [VGKE, SR 173.320.2]). Da keine Kostennote eingereicht wurde, ist die Parteientschädigung aufgrund der Akten festzusetzen (vgl. Art. 14 Abs. 1 und 2 VGKE). Gestützt darauf ist den Beschwerdeführern eine insgesamt auf Fr. 750.-- (inkl. Auslagen) festzusetzende, von der Vorinstanz zu entrichtende Parteientschädigung zuzusprechen (vgl. Art. 10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