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E-2066/2016 vom 15. August 2016</w:t>
      </w:r>
    </w:p>
    <w:p>
      <w:r>
        <w:t>Bundesverwaltungsgericht, 2016-08-15, FR</w:t>
      </w:r>
    </w:p>
    <w:p>
      <w:r>
        <w:rPr>
          <w:b/>
        </w:rPr>
        <w:t xml:space="preserve">Quelle: </w:t>
      </w:r>
      <w:r>
        <w:t>https://mcp.opencaselaw.ch/entscheid/bvger_E-2066_2016</w:t>
      </w:r>
    </w:p>
    <w:p>
      <w:r>
        <w:t>FR: TAF E-2066/2016 du 15 août 2016</w:t>
      </w:r>
    </w:p>
    <w:p>
      <w:r>
        <w:t>IT: TAF E-2066/2016 del 15 agosto 2016</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w:t>
      </w:r>
    </w:p>
    <w:p>
      <w:r>
        <w:t>Le recourant n'attaque la décision du SEM du 7 mars 2016 qu'en ce qui concerne l'exécution du renvoi. Dès lors, cette décision a acquis force de chose décidée en ce qui concerne le refus de l'asile et le prononcé du renvoi du recourant.</w:t>
      </w:r>
    </w:p>
    <w:p>
      <w:r>
        <w:rPr>
          <w:b/>
        </w:rPr>
        <w:t>E. 3</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Dans la mesure où le recourant n'a pas remis en cause le rejet de sa demande d'asile,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In casu, le recourant n'a pas établi l'existence d'un véritable risque concret et sérieux d'être victime de traitements prohibés par les art. 3 CEDH ou 3 Conv. torture en cas de renvoi dans son pays (ATAF 2008/34 consid. 10 et réf. cit.).</w:t>
      </w:r>
    </w:p>
    <w:p>
      <w:r>
        <w:rPr>
          <w:b/>
        </w:rPr>
        <w:t>E. 4.3.2</w:t>
      </w:r>
    </w:p>
    <w:p>
      <w:r>
        <w:t>En l'occurrence, la fonction cardiaque du recourant est stable depuis presque deux ans et son état ne nécessite aucun traitement médicamenteux. Par conséquent, l'exécution du renvoi n'a pas pour conséquence de l'exposer à un risque sérieux de mort rapide en cas de retour au Nigéria. Ainsi, faute de circonstances tout à fait extraordinaires commandant impérativement la poursuite de son séjour sur le territoire helvétique pour des motifs médicaux, une éventuelle illicéité de l'exécution de son renvoi ne peut être retenue (cf. arrêt de la Cour européenne des droits de l'homme [CourEDH] D. c. Royaume-Uni du 2 mai 1997, requête n° 30240/96, par. 49ss).</w:t>
      </w:r>
    </w:p>
    <w:p>
      <w:r>
        <w:rPr>
          <w:b/>
        </w:rPr>
        <w:t>E. 4.4</w:t>
      </w:r>
    </w:p>
    <w:p>
      <w:r>
        <w:t>Dès lors, l'exécution du renvoi du recourant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5.2</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w:t>
      </w:r>
    </w:p>
    <w:p>
      <w:r>
        <w:t>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5.4</w:t>
      </w:r>
    </w:p>
    <w:p>
      <w:r>
        <w:t>Il faut encore déterminer si la situation personnelle du recourant est à même de le mettre concrètement en danger en cas de retour au Nigéria.</w:t>
      </w:r>
    </w:p>
    <w:p>
      <w:r>
        <w:rPr>
          <w:b/>
        </w:rPr>
        <w:t>E. 5.4.1</w:t>
      </w:r>
    </w:p>
    <w:p>
      <w:r>
        <w:t>L'intéressé a été suivi entre septembre 2012 et août 2014 pour des problèmes de médecine générale sans gravité. A mi-août 2014, il a présenté des douleurs thoraciques importantes, qui ont eu pour conséquence son hospitalisation, à la suite de quoi il a été diagnostiqué comme étant atteint d'une myocardite, probablement d'origine virale. Il a été traité au moyen d'anti-inflammatoires et de bétabloquants et a été régulièrement suivi au L._______. Le recourant est suivi depuis le 21 octobre 2015 par le Dr S._______(cf. son rapport du 24 mars 2016), qui le voit régulièrement en milieu carcéral en raison de douleurs thoraciques récurrentes faisant suite à la myocardite susmentionnée de mi-août 2014. Les douleurs ressenties sont intermittentes, sans lien avec la respiration, l'effort ou d'autres symptômes. Elles n'ont pas de facteur déclenchant et sont soulagées par la prise d'antalgiques, sans quoi la durée de l'épisode douloureux est de plusieurs heures. L'état du recourant est jugé stationnaire. Celui-ci a subi des examens complémentaires, le (...) 2016, à savoir une échocardiographie transthoracique et une ergométrie, de même qu'un holter (enregistrement de l'électrocardiogramme en continu) de 24 heures, effectué du (...) au (...) 2016, dont le résultat est satisfaisant, et un examen par IRM cardiaque effectué le (...) 2016. Il ressort en particulier de ce dernier examen que la morphologie et la fonction cardiaques sont stables et normales par rapport à l'examen d'octobre 2014. Le ventricule droit ne présente ni nouvelle lésion ni progression de la myocardite. La non-compaction étant fréquente au sein de la population africaine, le Dr T._______ a préconisé, sur avis du chef de clinique, une échocardiographie de contrôle tous les deux ans afin de s'assurer de l'absence d'évolution vers une dilatation cardiaque. Aucune pathologie qui nécessiterait un traitement médical n'a été décelée. Par conséquent, force est d'admettre que le recourant ne souffre pas d'un problème cardiaque grave, puisqu'aucun traitement ne lui est prescrit et que seule une IRM de contrôle est préconisée tous les deux ans. S'agissant du traitement médicamenteux prescrit par le Dr S._______(cf. son rapport médical du 24 mars 2016), force est de constater que la plupart des prescriptions concerne le traitement de l'acné, de la peau et de verrues (Lubexyl savon, Differin gel, Excipial hydro-lotion et Acétocaustine). Ainsi, ces affections cutanées ne sauraient être qualifiées de graves au sens du considérant 5.4.1 ci-dessus. Pour le traitement de l'hypertension, le recourant s'est vu prescrire du Nebilet 5 mg (un demi comprimé 1x/jour). Sur la base du Compendium Suisse, la dose prescrite est la moitié de la dose journalière prescrite en général. Dès lors, d'une part, cette affection n'est pas d'une gravité telle qu'elle pourrait constituer en soi un obstacle à l'exécution du renvoi et, d'autre part, pourra être traitée au Nigéria.</w:t>
      </w:r>
    </w:p>
    <w:p>
      <w:r>
        <w:rPr>
          <w:b/>
        </w:rPr>
        <w:t>E. 5.4.2</w:t>
      </w:r>
    </w:p>
    <w:p>
      <w:r>
        <w:t>Par conséquent, les problèmes de santé du recourant n'apparaissent pas d'une gravité telle à mettre sa vie en danger dans un avenir proche en cas de renvoi au Nigéria.</w:t>
      </w:r>
    </w:p>
    <w:p>
      <w:r>
        <w:rPr>
          <w:b/>
        </w:rPr>
        <w:t>E. 5.5</w:t>
      </w:r>
    </w:p>
    <w:p>
      <w:r>
        <w:t>En outre, il ne ressort du dossier aucun élément dont on pourrait inférer que l'exécution du renvoi impliquerait une mise en danger concrète du recourant. A cet égard, le Tribunal relève que l'intéressé est jeune et au bénéfice d'une expérience professionnelle, puisqu'il a pu subvenir seul à ses besoins durant de nombreuses années. Au demeurant, le recourant dispose d'un réseau familial et social dans son pays, sur lequel il pourra compter à son retour. Force est de rappeler que le SEM a considéré à juste titre, dans sa décision du 7 mars 2016, qu'il n'était pas crédible que la mère du recourant ait été tuée dans les circonstances indiquées. En effet, lors de sa première audition, le recourant a déclaré que ses parents avaient tous les deux perdu la vie lors de l'agression des miliciens (cf. let. A ci-dessus), alors qu'au cours de son audition sur les motifs, il a affirmé qu'il ignorait où séjournait sa mère et si elle était encore en vie. Il a déclaré que sa mère avait été tuée lors de l'agression ou alors que les miliciens ne s'en prenaient pas aux femmes. Le recourant a dit avoir demandé à une personne en Suisse de téléphoner à sa famille au pays pour qu'elle se rende où vivaient sa mère et sa soeur à l'époque ; cette personne n'aurait pas réussi à contacter sa famille au Nigéria ou, selon une autre version, les membres de cette famille aurait trouvé le domicile du recourant à B._______ abandonné (cf. pv de son audition fédérale p. 4, questions n° 25 et 26). Il n'est par conséquent pas établi que la mère et la soeur de l'intéressé aient quitté le domicile familial. Il n'est pas non plus vraisemblable qu'il n'ait plus de contact avec sa famille au pays, alors qu'il a tenté d'envoyer du matériel informatique volé en Afrique. Il a déclaré avoir des oncles, des tantes et des cousins et l'allégué selon lequel il ignorerait leurs identités, leur nombre et leurs adresses n'est pas crédible.</w:t>
      </w:r>
    </w:p>
    <w:p>
      <w:r>
        <w:rPr>
          <w:b/>
        </w:rPr>
        <w:t>E. 5.6</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Vu les considérants qui précèdent, les trois conditions cumulatives au prononcé de l'exécution du renvoi (licéité, exigibilité et possibilité) étant remplies, il n'y a pas lieu d'examiner en plus si les conditions d'application de l'art. 83 al. 7 (en particulier sa let. b) LEtr qui exclut de l'admission provisoire une personne qui attente de manière grave ou répétée à la sécurité et à l'ordre publics en Suisse sont remplies ; cette question peut donc être laissée indécise.</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