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E-2064/2020 vom 16. November 2020</w:t>
      </w:r>
    </w:p>
    <w:p>
      <w:r>
        <w:t>Bundesverwaltungsgericht, 2020-11-16, DE</w:t>
      </w:r>
    </w:p>
    <w:p>
      <w:r>
        <w:rPr>
          <w:b/>
        </w:rPr>
        <w:t xml:space="preserve">Quelle: </w:t>
      </w:r>
      <w:r>
        <w:t>https://mcp.opencaselaw.ch/entscheid/bvger_E-2064_2020</w:t>
      </w:r>
    </w:p>
    <w:p>
      <w:r>
        <w:t>FR: TAF E-2064/2020 du 16 novembre 2020</w:t>
      </w:r>
    </w:p>
    <w:p>
      <w:r>
        <w:t>IT: TAF E-2064/2020 del 16 novembre 2020</w:t>
      </w:r>
    </w:p>
    <w:p>
      <w:pPr>
        <w:pStyle w:val="Heading2"/>
      </w:pPr>
      <w:r>
        <w:t>Regeste</w:t>
      </w:r>
    </w:p>
    <w:p>
      <w:r>
        <w:t>Asyl und Wegweisung</w:t>
      </w:r>
    </w:p>
    <w:p>
      <w:pPr>
        <w:pStyle w:val="Heading2"/>
      </w:pPr>
      <w:r>
        <w:t>Erwägungen</w:t>
      </w:r>
    </w:p>
    <w:p>
      <w:r>
        <w:rPr>
          <w:b/>
        </w:rPr>
        <w:t>E. 1.1</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nach fristgerechter Leistung des Kostenvorschusses,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zu den praxisgemässen Anforderungen an das Glaubhaftmachen vgl. BVGE 2015/3 E. 6.5.1 m.w.H.).</w:t>
      </w:r>
    </w:p>
    <w:p>
      <w:r>
        <w:rPr>
          <w:b/>
        </w:rPr>
        <w:t>E. 5.1</w:t>
      </w:r>
    </w:p>
    <w:p>
      <w:r>
        <w:t>Die Vorinstanz stellte in der angefochtenen Verfügung fest, die Vorbringen des Beschwerdeführers hielten den Anforderungen an die Flüchtlingseigenschaft gemäss Art. 3 AsylG nicht stand. Der Beschwerdeführer habe geltend gemacht, von seinem Vater und dessen Frau misshandelt und verleumdet worden zu sein. Sowohl der physische Missbrauch durch den Vater als auch die Verleumdung durch die Stiefmutter stellten Handlungen dar, die auch in der Autonomen Region Kurdistan (ARK) strafbar seien. Der Beschwerdeführer habe jedoch weder seine Onkel und Tanten darüber informiert noch bei den zuständigen Strafverfolgungsbehörden um Schutz ersucht. Soweit der Beschwerdeführer angegeben habe, kein Vertrauen in die kurdische Regierung und die Polizei gehabt zu haben, seien weder seinen Aussagen noch den Akten Hinweise dafür zu entnehmen, die in seinem Fall auf einen fehlenden Schutzwillen, fehlende Schutzfähigkeit der Strafverfolgungsbehörden oder fehlende Schutzinfrastruktur deuteten. Es sei ihm also möglich und mangels persönlicher negativer Erlebnisse auch zumutbar, sich an die zuständigen Strafverfolgungsbehörden zu wenden, um Schutz vor weiteren Übergriffen nachzusuchen respektive die bereits erlittenen Nachteile zur Anzeige zu bringen und sich bei Untätigkeit der Behörden an die nächst höhere Instanz zu wenden. Da der geltend gemachten Drittverfolgung keine Asylrelevanz zukomme, erübrigten sich Ausführungen zum fehlenden Motiv gemäss Art. 3 AsylG.</w:t>
      </w:r>
    </w:p>
    <w:p>
      <w:r>
        <w:rPr>
          <w:b/>
        </w:rPr>
        <w:t>E. 5.2</w:t>
      </w:r>
    </w:p>
    <w:p>
      <w:r>
        <w:t>Nach Prüfung der Akten ergibt sich, dass die Vorinstanz in ihren Erwägungen zur zutreffenden Erkenntnis gelangt ist, die Vorbringen des Beschwerdeführers würden den Anforderungen an die Flüchtlingseigenschaft (Art. 3 AsylG) nicht genügen. Um Wiederholungen zu vermeiden, kann vollumfänglich auf die zutreffenden Ausführungen in der angefochtenen Verfügung verwiesen werden. In der Beschwerde wird bekräftigt, der Beschwerdeführer sei in Lebensgefahr gewesen. Beim Streit sei es um die Ehre gegangen. In solchen Fällen sei die Rolle des Staates sehr gering und die betroffenen Personen würden durch den Staat nicht geschützt. Der Beschwerdeführer habe gewusst, wie sein Vater nach Sitte und Gebrauch in seinem Heimatland auf eine solche Anschuldigung reagieren würde. Sein Vater habe sich geschworen, die verletzte Ehre wiederherzustellen. Er habe nun auch einen in Schweden lebenden Onkel damit beauftragt, den Beschwerdeführer zu töten. Sein Onkel habe ihn (den Beschwerdeführer) darüber informiert, dem Vater aber nicht gesagt, wo sich der Beschwerdeführer aufhalte. In der ARK seien die staatlichen Strukturen noch nicht weit entwickelt und ein einfacher Bürger könne sein Recht nur einfordern, wenn er eine Beziehung zu einer Person aus den regierenden Stämmen habe. Dies fehle dem Beschwerdeführer. Zudem sei sein Vater früher bei den Peschmerga gewesen und kenne diverse wichtige Leute.</w:t>
      </w:r>
    </w:p>
    <w:p>
      <w:r>
        <w:rPr>
          <w:b/>
        </w:rPr>
        <w:t>E. 5.3</w:t>
      </w:r>
    </w:p>
    <w:p>
      <w:r>
        <w:t>Diese Ausführungen vermögen nichts an der Einschätzung der Vorinstanz zu ändern, die vorliegend zu bestätigen ist. Ergänzend ist folgendes festzuhalten: Geht eine Verfolgung von nicht-staatlichen Akteuren aus, ist zu prüfen, ob der Beschwerdeführer staatlichen Schutz beanspruchen kann (vgl. BVGE 2013/11 E. 5.1, 2010/57 E. 2 und 2008/12 E. 5). Dabei kann nicht eine faktische Garantie des Schutzgewährers für langfristigen individuellen Schutz des von nicht-staatlicher Verfolgung Bedrohten verlangt werden, da es keinem Staat gelingt, die absolute Sicherheit aller seiner Bürger jederzeit und überall zu garantieren (vgl. Entscheidungen und Mitteilungen der vormaligen Schweizerischen Asylrekurskommission [EMARK] 2006 Nr. 18 E. 10.3.1 f.). Der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(vgl. zum Ganzen BVGE 2011/51 E. 7 m.w.H.). Gemäss Rechtsprechung des Bundesverwaltungsgerichts ist die Schutzfähigkeit und Schutzwilligkeit der nordirakischen Behörden grundsätzlich gegeben (vgl. BVGE 2008/4 E. 6.1-6.7 sowie aktuell etwa Urteil des BVGer E-4717/2019 vom 14. Juli 2020 E. 6.3.2). Zu betonen ist vorliegend zudem, dass der Beschwerdeführer die behaupteten Vorfälle eigenen Angaben zufolge gar nicht erst zur Anzeige gebracht und damit darauf verzichtet hat, den Behörden die Möglichkeit zu geben, ihrer Schutzpflicht nachzukommen. Die Flüchtlingseigenschaft setzt sodann auch bei einer Verfolgung durch Dritte voraus, dass der geltend gemachten Verfolgung oder der staatlichen Schutzverweigerung ein flüchtlingsrechtlich relevantes Motiv gemäss Art. 3 AsylG zugrunde liegt. Vorliegend ist dieses indes gerade zu verneinen, gründet die Verfolgung doch alleine auf privaten Problemen zwischen dem Beschwerdeführer und seinem Vater sowie dessen Ehefrau.</w:t>
      </w:r>
    </w:p>
    <w:p>
      <w:r>
        <w:rPr>
          <w:b/>
        </w:rPr>
        <w:t>E. 5.4</w:t>
      </w:r>
    </w:p>
    <w:p>
      <w:r>
        <w:t>Vor diesem Hintergrund hat das SEM die Flüchtlingseigenschaft des Beschwerdeführers zu Recht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 Der Vollzug kann für Ausländerinnen und Ausländer unzumutbar sein, wenn sie im Heimat- oder Herkunftsstaat aufgrund von Situationen wie Krieg, Bürgerkrieg, allgemeiner Gewalt und medizinischer Notlage konkret gefährdet sind (Art. 83 Abs. 4 AIG).</w:t>
      </w:r>
    </w:p>
    <w:p>
      <w:r>
        <w:rPr>
          <w:b/>
        </w:rPr>
        <w:t>E. 7.3</w:t>
      </w:r>
    </w:p>
    <w:p>
      <w:r>
        <w:t>Diese Voraussetzungen sind vorliegend nicht erfüllt. Die Vorinstanz erkannte in der angefochtenen Verfügung (vgl. E. III) zutreffend, dass der in Art. 5 AsylG verankerte Grundsatz der Nichtrückschiebung mangels Erfüllung der Flüchtlingseigenschaft keine Anwendung findet und keine anderweitigen völkerrechtlichen Vollzugshindernisse erkennbar sind.</w:t>
      </w:r>
    </w:p>
    <w:p>
      <w:r>
        <w:rPr>
          <w:b/>
        </w:rPr>
        <w:t>E. 7.4</w:t>
      </w:r>
    </w:p>
    <w:p>
      <w:r>
        <w:t>Ebenso zutreffend stellte die Vorinstanz fest, dass, obwohl die Konfliktlage im Irak von grosser Volatilität geprägt ist, weder die herrschende politische Situation noch andere Gründe gegen die Zumutbarkeit einer Rückkehr in den Heimatstaat sprechen (vgl. dazu BVGE 2008/5 zuletzt bestätigt im Urteil des BVGer E-5964/2018 vom 11. September 2020 E. 10.3.1). Der Beschwerdeführer, so die Vorinstanz zutreffend, komme bereits seit seinem (...) Lebensjahr selbst für seinen Unterhalt auf. Seine finanzielle Situation würde es ihm ermöglichen, eine eigene Wohnung zu mieten. Ferner verfüge er in seiner Herkunftsregion auch über Onkel, Tanten und Freunde und habe damit ein soziales Netz. Es bestünden begünstigende Umstände, welche die schlechte Beziehung zu seinem Vater und seiner Stiefmutter überwiegten. Der Vollzug der Wegweisung sei als zumutbar zu qualifizieren. Weitere Vollzugshindernisse sind nicht ersichtlich und werden auf Beschwerdeebene auch nicht geltend gemacht. Der Vollzug der Wegweisung in die Provinz D._______ erweist sich als zumutbar.</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geleistete Kostenvorschuss in gleicher Höhe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