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E-2062/2016 vom 12. April 2016</w:t>
      </w:r>
    </w:p>
    <w:p>
      <w:r>
        <w:t>Bundesverwaltungsgericht, 2016-04-12, DE</w:t>
      </w:r>
    </w:p>
    <w:p>
      <w:r>
        <w:rPr>
          <w:b/>
        </w:rPr>
        <w:t xml:space="preserve">Quelle: </w:t>
      </w:r>
      <w:r>
        <w:t>https://mcp.opencaselaw.ch/entscheid/bvger_E-2062_2016</w:t>
      </w:r>
    </w:p>
    <w:p>
      <w:r>
        <w:t>FR: TAF E-2062/2016 du 12 avril 2016</w:t>
      </w:r>
    </w:p>
    <w:p>
      <w:r>
        <w:t>IT: TAF E-2062/2016 del 12 aprile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1.3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1.4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2.1</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2.2</w:t>
      </w:r>
    </w:p>
    <w:p>
      <w:r>
        <w:t>Jeder Antrag wird von einem einzigen Mitgliedstaat geprüft, der nach den Kriterien des Kapitels III als zuständiger Staat bestimmt wird (Art. 3 Abs. 1, Satz 2 Dublin-III-VO).</w:t>
      </w:r>
    </w:p>
    <w:p>
      <w:r>
        <w:rPr>
          <w:b/>
        </w:rPr>
        <w:t>E. 2.3</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2.4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Die Vorinstanz stellt in der angefochtenen Verfügung fest, die kroatischen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Dublin-III-VO sei die Zuständigkeit zur Prüfung des Asyl- und Wegweisungsverfahrens daher am 15. März 2016 an Kroatien übergegangen. Aufgrund der mit dem Dokument vom 15. Dezember 2015 nachweisbaren illegalen Einreise des Beschwerdeführers nach Kroatien und aufgrund dessen Aussagen in der Befragung vom 7. Januar 2016, wonach er sich bei der Durchreise in Kroatien aufgehalten habe, sei gemäss der Dublin-III-VO Kroatien für die Durchführung des Asyl- und Wegweisungsverfahrens zuständig. Sodann liege aufgrund der Akten kein Grund für einen Selbsteintritt der Schweiz vor. Die Überstellung nach Kroatien habe - vorbehältlich einer allfälligen Unterbrechung oder Verlängerung der Überstellungsfrist - bis spätestens am 15. September 2016 zu erfolgen.</w:t>
      </w:r>
    </w:p>
    <w:p>
      <w:r>
        <w:rPr>
          <w:b/>
        </w:rPr>
        <w:t>E. 3.2</w:t>
      </w:r>
    </w:p>
    <w:p>
      <w:r>
        <w:t>In der Rechtsmitteleingabe beanstandet der Beschwerdeführer die grundsätzliche Zuständigkeit Kroatiens nicht. Indessen sei sein Reiseziel stets die Schweiz gewesen, wo Menschenrechte respektiert würden, Sicherheit und ein würdevolles Leben möglich sei. Er beabsichtige, sich hier schulisch ausbilden zu lassen, zu arbeiten und eine Existenz zu gründen. Er sei mittlerweile bereits in der Schweiz eingeschult, habe ein Zuhause und Freunde gefunden. Er wolle nicht nach Kroatien zurück, wo er keine Perspektiven vorfinde, keine Existenz sich schaffen könne und ihn im schlimmsten Fall ein Leben auf der Strasse erwarte. Kroatien behandle Flüchtlinge schlecht. Sodann leide er seit Erhalt der angefochtenen Verfügung unter gesundheitlichen Problemen (Kopf- und Augenschmerzen).</w:t>
      </w:r>
    </w:p>
    <w:p>
      <w:r>
        <w:rPr>
          <w:b/>
        </w:rPr>
        <w:t>E. 4.1</w:t>
      </w:r>
    </w:p>
    <w:p>
      <w:r>
        <w:t>Gemäss seinen eigenen Angaben hat sich der Beschwerdeführer auf seiner Reise von der Türkei in die Schweiz durch Dublin-Mitgliedstaaten auch in Kroatien aufgehalten. Laut dem eingereichten kroatischen Schreiben ist er dabei illegal nach Kroatien eingereist und hat sich am 15. Dezember 2015 dort aufgehalten. Das SEM hat die kroatischen Behörden am 14. Januar 2016 somit folgerichtig um Aufnahme des Beschwerdeführers gestützt auf Art. 13 Abs. 1 Dublin-III-VO ersucht. Indem die kroatischen Behörden auf das Übernahmeersuchen der Schweiz nicht geantwortet haben, hat Kroatien seine Zuständigkeit implizit anerkannt. Somit ist die grundsätzliche Zuständigkeit Kroatiens gemäss Art. 13 Abs. 1 Dublin-III-VO gegeben. Dabei verlangt die vorgenannte Bestimmung nicht, dass der Betroffene im erreichten Dublin-Mitgliedstaat ein Asylgesuch eingereicht haben muss, denn für die Annahme der Zuständigkeit genügen Indizien, wie eine illegale Einreise. Ausserdem wäre für die Zuständigkeitsbegründung nach Art. 13 Abs. 1 Dublin-III-VO eine illegale Einreise in einen Mitgliedstaat aus einem anderen Dublin-Staat unbeachtlich (vgl. Filzwieser/Sprung, Dublin III-Verordnung, Wien 2014, K3 zu Art. 13, S. 142f.).</w:t>
      </w:r>
    </w:p>
    <w:p>
      <w:r>
        <w:rPr>
          <w:b/>
        </w:rPr>
        <w:t>E. 4.2</w:t>
      </w:r>
    </w:p>
    <w:p>
      <w:r>
        <w:t>Kroatien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Hinweise dafür, dass sich das Land im konkreten Fall nicht an die daraus resultierenden Verpflichtungen halten würde.</w:t>
      </w:r>
    </w:p>
    <w:p>
      <w:r>
        <w:rPr>
          <w:b/>
        </w:rPr>
        <w:t>E. 4.3</w:t>
      </w:r>
    </w:p>
    <w:p>
      <w:r>
        <w:t>Es obliegt dem Beschwerdeführer, diese vorstehenden Vermutungen umzustossen. Dabei hat er ernsthafte Anhaltspunkte vorzubringen, dass die kroatischen Behörden in seinem Fall das Völkerrecht verletzen und ihm nicht den notwendigen Schutz gewähren oder ihn menschenunwürdigen Lebensumständen aussetzen würden, mithin in seinem Fall Art. 3 EMRK oder eine andere völkerrechtliche Verpflichtung verletzt ist (vgl. Europäischer Gerichtshof für Menschenrechte [EGMR], M.S.S. gegen Belgien und Griechenland [Appl. No. 30696/09], Urteil vom 21. Januar 2011, § 84 f. und 250; ebenso Urteil des Gerichtshofes der Europäischen Union [EuGH] vom 21. Dezember 2011 in der Rechtssache C-411/10 und C-493). Solches macht er in der Rechtsmitteleingabe offensichtlich nicht geltend und ist aufgrund der Akten auch nicht ersichtlich.</w:t>
      </w:r>
    </w:p>
    <w:p>
      <w:r>
        <w:rPr>
          <w:b/>
        </w:rPr>
        <w:t>E. 4.4</w:t>
      </w:r>
    </w:p>
    <w:p>
      <w:r>
        <w:t>In Fortführung der bisherigen Praxis des Bundesverwaltungsgerichts ist somit von der Vermutung auszugehen, dass Kroatien die Gebote des flüchtlingsrechtlichen und des menschenrechtlichen Rückschiebeverbots beachtet. Bei einer Überstellung ist weiter davon auszugehen, dass Kroatien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anerkennt und schützt.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a.a.O., Art. 17 K5 S. 159). Dies ist vorliegend nicht der Fall.</w:t>
      </w:r>
    </w:p>
    <w:p>
      <w:r>
        <w:rPr>
          <w:b/>
        </w:rPr>
        <w:t>E. 4.5</w:t>
      </w:r>
    </w:p>
    <w:p>
      <w:r>
        <w:t>Was die geltend gemachten Kopf- und Augenschmerzen, die in Zusammenhang mit der Eröffnung der vorinstanzlichen Verfügung stehen, betrifft, so stehen diese einer Überstellung offensichtlich nicht entgegen. Sollte der Beschwerdeführer dennoch weiterhin Schmerzen haben, so verfügt Kroatien gemäss den Erkenntnissen des Gerichts über hinreichende medizinische Infrastrukturen zu derer Behandlung (vgl. Urteil des BVGer E-1904/2016 vom 6. April 2016).</w:t>
      </w:r>
    </w:p>
    <w:p>
      <w:r>
        <w:rPr>
          <w:b/>
        </w:rPr>
        <w:t>E. 5</w:t>
      </w:r>
    </w:p>
    <w:p>
      <w:r>
        <w:t>Was schliesslich die Ermessensklausel von Art. 17 Abs. 1 Dublin-III-VO betrifft, so ist diese nicht direkt, sondern nur in Verbindung mit einer nationalen Norm (namentlich Art. 29a Abs. 3 AsylV1, Selbsteintritt aus humanitären Gründen) oder internationalem Recht anwendbar (vgl. BVGE 2010/45 E. 5). In diesem Zusammenhang kommt dem Bundesverwaltungsgericht jedoch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 Der Umstand, dass der Beschwerdeführer wünscht, in der Schweiz bleiben zu können, stellt keinen Grund für einen Selbsteintritt der Schweiz dar. Die Dublin-III-VO räumt dem Schutzsuchenden kein Recht ein, den seinen Antrag prüfenden Staat selber auszuwählen (vgl. BVGE 2010/45 E. 8.3).</w:t>
      </w:r>
    </w:p>
    <w:p>
      <w:r>
        <w:rPr>
          <w:b/>
        </w:rPr>
        <w:t>E. 6.1</w:t>
      </w:r>
    </w:p>
    <w:p>
      <w:r>
        <w:t>Kroatien ist somit für die Durchführung des Asyl- und Wegweisungsverfahrens des Beschwerdeführers gemäss der Dublin-III-VO zuständig und entsprechend verpflichtet, ihn gemäss Art. 18 Abs. 1 Bst. b Dublin-III-VO aufzunehmen. Die Vorinstanz ist in Anwendung von Art. 31a Abs. 1 Bst. b AsylG zu Recht auf das Asylgesuch des Beschwerdeführers nicht eingetreten. Da er auch nicht im Besitz einer gültigen Aufenthalts- oder Niederlassungsbewilligung ist, hat die Vorinstanz in Anwendung von Art. 44 AsylG ebenfalls zu Recht die Überstellung nach Kroatien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 S. 645).</w:t>
      </w:r>
    </w:p>
    <w:p>
      <w:r>
        <w:rPr>
          <w:b/>
        </w:rPr>
        <w:t>E. 7</w:t>
      </w:r>
    </w:p>
    <w:p>
      <w:r>
        <w:t>Nach dem Gesagten ergibt sich, dass die angefochtene Verfügung Bundesrecht nicht verletzt und auch sonst nicht zu beanstanden ist (vgl. Art. 106 AsylG). Die Beschwerde ist abzuweisen. Mit dem vorliegenden Urteil sind die Anträge auf Wiederherstellung der aufschiebenden Wirkung und auf Anordnung vorsorglicher Massnahmen gegenstandslos geworden.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Mit dem 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