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E-2062/2012 vom 7. September 2012</w:t>
      </w:r>
    </w:p>
    <w:p>
      <w:r>
        <w:t>Bundesverwaltungsgericht, 2012-09-07, FR</w:t>
      </w:r>
    </w:p>
    <w:p>
      <w:r>
        <w:rPr>
          <w:b/>
        </w:rPr>
        <w:t xml:space="preserve">Quelle: </w:t>
      </w:r>
      <w:r>
        <w:t>https://mcp.opencaselaw.ch/entscheid/bvger_E-2062_2012</w:t>
      </w:r>
    </w:p>
    <w:p>
      <w:r>
        <w:t>FR: TAF E-2062/2012 du 7 septembre 2012</w:t>
      </w:r>
    </w:p>
    <w:p>
      <w:r>
        <w:t>IT: TAF E-2062/2012 del 7 settembre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w:t>
      </w:r>
    </w:p>
    <w:p>
      <w:r>
        <w:t>Les griefs articulés par les recourants, en rapport avec une violation du droit d'être entendu, sont sans fondement.</w:t>
      </w:r>
    </w:p>
    <w:p>
      <w:r>
        <w:rPr>
          <w:b/>
        </w:rPr>
        <w:t>E. 2.1</w:t>
      </w:r>
    </w:p>
    <w:p>
      <w:r>
        <w:t>En effet, l'étendue de la motivation n'est pas critiquable. La motivation d'une décision doit être telle que le destinataire puisse la comprendre, l'attaquer utilement s'il y a lieu, et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Jurisprudence et informations de la Commission suisse de recours en matière d'asile [JICRA] 2006 no 4 consid. 5 p. 44 ss, JICRA 1995 no 12 consid. 12c p. 114 ss). Tel a été le cas en l'occurrence, l'ODM admettant que l'état de santé du recourant, qui n'avait plus été évoqué dans la présente procédure, était stabilisé. A ce sujet, le Tribunal rappelle que la maxime d'office n'oblige pas l'autorité à prendre en considération des éléments - en l'espèce, l'état de santé du mari et la séparation des époux - auxquels les parties n'ont pas fait référence et dont elles n'ont pas voulu tirer des arguments. Il en va de même, mutatis mutandis, de la situation de leur fille ; en effet, si son cas doit faire l'objet d'un examen spécifique, auquel il sera procédé plus bas, l'ODM n'en était pas moins fondé à admettre que, faute d'allégations des intéressés sur ce point, l'enfant pouvait suivre ses parents en Equateur.</w:t>
      </w:r>
    </w:p>
    <w:p>
      <w:r>
        <w:rPr>
          <w:b/>
        </w:rPr>
        <w:t>E. 2.2</w:t>
      </w:r>
    </w:p>
    <w:p>
      <w:r>
        <w:t>En conclusion, même si la lenteur de l'instruction menée par l'ODM est critiquable, il n'y a pas eu violation du droit d'être entendu ; l'autorité de première instance n'avait pas de raison, faute d'argument des recourants, de motiver sa décision dans une mesure plus large que le nécessitaient les éléments de fait ressortant du dossier ; la réplique du 9 août 2012, s'agissant de l'état du mari, semble implicitement l'admettre. En outre, le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ATF 126 II 111 consid. 6b/cc ; ATAF 2008/47 consid. 3.3.4 p. 676s., ATAF 2007/30 consid. 8.2 p. 371s., ATAF 2007/27 consid. 10.1 p. 332 ; JICRA 2006 n°4 consid. 5.2 p. 46). En l'espèce, ces conditions apparaissent remplies, la réponse et la réplique ayant permis à l'ODM et aux intéressés de faire valoir leurs arguments.</w:t>
      </w:r>
    </w:p>
    <w:p>
      <w:r>
        <w:rPr>
          <w:b/>
        </w:rPr>
        <w:t>E. 3</w:t>
      </w:r>
    </w:p>
    <w:p>
      <w:r>
        <w:t>Les recourants n'ont pas recouru contre la décision de l'ODM en tant qu'elle rejette leur demande d'asile, de sorte que, sous cet angle, elle a acquis force de chose décidée.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w:t>
      </w:r>
    </w:p>
    <w:p>
      <w:r>
        <w:t>En l'espèce, il ressort de l'acte de recours qu'à la date de celui-ci, les époux étaient séparés de fait "depuis plus d'un an" et n'avaient plus de domicile commun, sans que cela ait été sanctionné par une autorité judiciaire. La réplique et les rapports médicaux des 24 avril et 4 mai 2012 le confirment, le dernier document cité exposant que A._______ voit sa fille chaque fin de semaine ; il apparaît donc que cette enfant vit de manière habituelle avec sa mère, qui en assume le soin et l'éducation. Dans cette mesure, le principe découlant de l'art. 8 de la convention du 4 novembre 1950 de sauvegarde des droits de l'homme et des libertés fondamentales (CEDH, RS 0.101) et rappelé par la jurisprudence (JICRA 1995 n° 24 consid. 10-11 p. 230-233), selon lequel l'admission provisoire d'un membre de la famille conduit à l'admission de toute la famille, ne trouve plus application (JICRA 2004 n° 12 consid. 7 p. 77-78). La séparation des conjoints étant intervenue, il n'y a plus d'unité familiale ; l'autorité est donc fondée à apprécier différemment la situation de chacun des membres de la famille. Cette exception à un principe général est d'autant plus justifiée, en l'espèce, que le comportement du mari et ses antécédents pénaux constituent un motif supplémentaire de traiter son cas de manière spécifique (cf. consid. 8 ci-après).</w:t>
      </w:r>
    </w:p>
    <w:p>
      <w:r>
        <w:rPr>
          <w:b/>
        </w:rPr>
        <w:t>E. 7.1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7.2</w:t>
      </w:r>
    </w:p>
    <w:p>
      <w:r>
        <w:t>En l'occurrence, s'agissant de C._______ et de sa mère, c'est sur la question de la légalité, respectivement de l'exigibilité que l'autorité de céans doit porter son examen.</w:t>
      </w:r>
    </w:p>
    <w:p>
      <w:r>
        <w:rPr>
          <w:b/>
        </w:rPr>
        <w:t>E. 7.3</w:t>
      </w:r>
    </w:p>
    <w:p>
      <w:r>
        <w:t>En effet, le Tribunal doit ici tenir compte de l'intérêt supérieur de l'enfant, tel qu'il se trouve consacré à l'art. 3 al. 1 CDE. Si ce principe ne fonde pas en soi un droit à une autorisation de séjour, respectivement à une admission provisoire invocable en justice, il représente en revanche un des éléments à prendre en compte dans la pesée des intérêts à effectuer en matière de légalité et d'exigibilité du renvoi ; une abondante jurisprudence a consacré ce principe (cf. ATAF 2009/51 consid. 5.6 p. 749 et 2009/28 consid. 9.3.2 p. 367-370 avec réf. citées ; JICRA 1998 n° 13 consid. 5e p. 98-100 ; 2005 n° 6 consid. 6.1-6.2 p. 57-58). Les critères applicables pour déterminer l'intérêt supérieur de l'enfant restent les mêmes en cas de retour dans son pays d'origine et en cas de poursuite de son séjour en Suisse. Le Tribunal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retour,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p. 142-143). En outre, une fois scolarisé depuis plusieurs années en Suisse, l'enfant voit son degré d'intégration augmenté ; lorsqu'il atteint l'adoles-cence, période essentielle du développement personnel, un retour forcé dans le pays d'origine peut représenter pour lui une mesure d'une dureté excessive (cf. ATF 123 II 125 consid. 4 ; a contrario ATAF 2007/16 consid. 9 p. 200-201).</w:t>
      </w:r>
    </w:p>
    <w:p>
      <w:r>
        <w:rPr>
          <w:b/>
        </w:rPr>
        <w:t>E. 7.4</w:t>
      </w:r>
    </w:p>
    <w:p>
      <w:r>
        <w:t>En l'espèce, C._______, la fille des recourants a aujourd'hui (...) ans, et entame donc son adolescence ; elle a accompli toute sa scolarité, jusqu'au niveau secondaire, en Suisse, où elle vit sans discontinuer depuis l'âge de deux ans. Il apparaît qu'elle n'a aucune connaissance pratique de son pays d'origine, où elle ne s'est plus jamais rendue depuis son arrivée en Suisse, et ne maîtrise guère la langue espagnole. Elle se trouve donc totalement intégrée en Suisse, où sa personnalité s'est formée et a évolué au fil du temps. En cas de retour en Equateur, cette enfant verrait donc sa formation interrompue à un stade délicat, et devrait se réadapter au système scolaire d'un pays où elle n'a ni lien ni repère, et dont les conditions de vie lui sont tout à fait étrangères ; à plus long terme, l'exécution du renvoi serait de nature à compromettre sa future formation professionnelle. Une telle mesure constituerait un déracinement d'une rigueur excessive, ce d'autant plus que les parents de la jeune fille, aujourd'hui déjà séparés, ne seraient guère en mesure de l'aider à se réadapter. A cela s'ajoute que sa soeur aînée dispose d'une autorisation de séjour pour cas de rigueur (art. 14 al. 2 LAsi) depuis octobre 2009 et a depuis lors fondé une famille en Suisse.</w:t>
      </w:r>
    </w:p>
    <w:p>
      <w:r>
        <w:rPr>
          <w:b/>
        </w:rPr>
        <w:t>E. 7.5</w:t>
      </w:r>
    </w:p>
    <w:p>
      <w:r>
        <w:t>Ainsi, il apparaît qu'une conjugaison de facteurs défavorables affecte C._______, dont le départ de Suisse représenterait un déracinement brutal, qui lui serait particulièrement dommageable. En conséquence, le Tribunal estime que l'exécution du renvoi de cette enfant est inexigible. Il y a lieu, en conséquence, de prononcer son admission provisoire ; celle-ci est en principe d'une durée d'un an (art. 85 al. 1 LEtr), renouvelable si nécessaire. L'admission provisoire s'étend à la mère de l'enfant, qui en assume la garde, en vertu du principe de l'unité de la famille (cf. JICRA 1995 n° 24 déjà citée) ; en effet, la condamnation infligée à B._______ en 2008, de faible ampleur, ne justifie pas l'application de l'art. 83 al. 7 LEtr, contrairement au cas de son mari (cf. ci-après).</w:t>
      </w:r>
    </w:p>
    <w:p>
      <w:r>
        <w:rPr>
          <w:b/>
        </w:rPr>
        <w:t>E. 8.1</w:t>
      </w:r>
    </w:p>
    <w:p>
      <w:r>
        <w:t>S'agissant de A._______, le Tribunal constate que l'exécution de son renvoi est licite au sens de l'art. 83 al. 3 LEtr. En effet, aucun risque n'apparaît le menacer, vu le manque de vraisemblance de ceux qu'il invoquait et l'évolution de la situation politique en Equateur depuis son départ ; il ne s'en est d'ailleurs plus prévalu dans son recours. Elle est également possible, l'intéressé étant titulaire d'un passeport dont il lui appartiendra de demander le renouvellement à la représentation de son pays d'origine.</w:t>
      </w:r>
    </w:p>
    <w:p>
      <w:r>
        <w:rPr>
          <w:b/>
        </w:rPr>
        <w:t>E. 8.2</w:t>
      </w:r>
    </w:p>
    <w:p>
      <w:r>
        <w:t>Quant au caractère raisonnablement exigible de l'exécution du renvoi, le Tribunal rappelle ce qui suit : L'exécution du renvoi des personnes en traitement médical en Suisse ne devient inexigible, en cas de retour dans leur pays d'origine ou de provenance, que dans la mesure où elles pourraient ne plus recevoir les soins essentiels garantissant des conditions minimales d'existence.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8.3</w:t>
      </w:r>
    </w:p>
    <w:p>
      <w:r>
        <w:t>Dans le cas d'espèce, le Tribunal considère que les troubles de santé du recourant ne sont pas, en tant que tels, de nature à exclure l'exécution du renvoi. L'état de l'intéressé demeure certes préoccupant, puisqu'il est toujours touché par un PTSD et un état dépressif grave, et a commis plusieurs tentatives de suicide ; par ailleurs, le pronostic demeure très réservé, un départ de Suisse étant de nature à aggraver son état, étant donné l'effet déstabilisant que cela entraînerait. Il n'en reste pas moins que l'Equateur dispose, comme l'ODM l'a retenu, d'un système de santé qui, s'il ne peut être raisonnablement comparé au système suisse, n'en reste pas moins fiable. A ce titre, l'intéressé peut avoir accès, principalement dans les grandes villes, à des médecins spécialisés en psychiatrie et, au besoin, être admis dans un hôpital psychiatrique ou un centre de thérapie. Les infrastructures hospitalières et sanitaires publiques n'étant réellement denses que dans les deux principaux centres urbains du pays, à Quito et à Guayaquil, il serait sans doute judicieux pour lui de s'installer à proximité d'un de ces centres. Quant aux coûts, les soins dispensés par le secteur public sont soit gratuits, soit peu onéreux, l'Equateur disposant d'un système d'assurances sociales fonctionnant sur le modèle de l'affiliation. En cas de maladie, la couverture des personnes affiliées inclut la prise en charge des frais médicaux, dentaires et pharmaceutiques, ainsi qu'une compensation financière en cas d'incapacité de travail. Six mois d'affiliation demeurent néanmoins nécessaires pour bénéficier de ces prestations. Il s'impose ici de souligner les efforts de l'Etat équatorien tendant à la reconnaissance du droit à la santé comme droit fondamental devant être garanti, promu et protégé. C'est ainsi que ce droit est, depuis 2008, inscrit dans la Constitution équatorienne et qu'une loi garantissant un accès juste et universel aux services de santé est en vigueur depuis 2002. Si le Tribunal est conscient qu'entre un texte légal et la réalité quotidienne, certains écarts, notamment entraînés par un manque de moyens financiers, peuvent demeurer, il convient néanmoins de prendre en considération que le système de santé équatorien a positivement évolué jusqu'à devenir, au moins dans les grandes villes, comparable au système de santé européen (cf. arrêt du Tribunal C-1049/2006 du 21 février 2011, consid. 7.3.4 et http://www.auswaertiges-amt.de/DE/Laender informationen/00-SiHi/EcuadorSicherheit.html?nn=396966#doc 396912 bodyText5, état au 28 août 2012). Selon les thérapeutes en charge de A._______, cependant, le simple fait d'un retour en Equateur est de nature le mettre en danger, quel que soit le traitement suivi ; il serait, de plus, appelé à affronter de graves difficultés de réinsertion. En raison des développements qui suivent ci dessous, ce point peut toutefois être laissé indécis.</w:t>
      </w:r>
    </w:p>
    <w:p>
      <w:r>
        <w:rPr>
          <w:b/>
        </w:rPr>
        <w:t>E. 8.4</w:t>
      </w:r>
    </w:p>
    <w:p>
      <w:r>
        <w:t>En effet, doit être examinée la question des conséquences, sur le caractère exécutable du renvoi, des antécédents pénaux de l'intéressé.</w:t>
      </w:r>
    </w:p>
    <w:p>
      <w:r>
        <w:rPr>
          <w:b/>
        </w:rPr>
        <w:t>E. 8.4.1</w:t>
      </w:r>
    </w:p>
    <w:p>
      <w:r>
        <w:t>L'art. 83 al. 7 LEtr prévoit que l'admission provisoire visée aux al. 2 et 4 (impossibilité et inexigibilité de l'exécution du renvoi) n'est pas ordonnée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 Sur cette base, l'ancienne Commission suisse de recours en matière d'asile (CRA) avait développé une jurisprudence aux termes de laquelle l'art. 14a al. 6 LSEE de l'ancienne loi fédérale du 26 mars 1931 sur le séjour et l'établissement des étrangers (LSEE) devait s'appliquer dans le respect du principe de la proportionnalité, l'ampleur du danger présenté par l'étranger et sa propension à poursuivre son activité délictuelle constituant des critères décisifs (JICRA 2004 n° 39 consid. 5.3 p. 271 ; 1995 n° 10 consid. 5b p. 100-101). Cette jurisprudence a été confirmée, étant précisé que seules des mises en danger grave de la sécurité ou de l'ordre public justifient l'application de la disposition en cause, la récidive (quelle que soit la peine prononcée) constituant toutefois un indice de poids dans ce sens (ATAF 2007/32 consid. 3.2 p. 386).</w:t>
      </w:r>
    </w:p>
    <w:p>
      <w:r>
        <w:rPr>
          <w:b/>
        </w:rPr>
        <w:t>E. 8.4.2</w:t>
      </w:r>
    </w:p>
    <w:p>
      <w:r>
        <w:t>En l'espèce, l'intéressé n'a certes pas été condamné à une peine de longue durée, soit de plus d'un an (cf. à ce sujet ATF 135 II 377), bien que les deux peines prononcées pour recel, cumulées, atteignent cette durée ; si elles ont été initialement assorties du sursis, la première a finalement été exécutée de septembre à décembre 2009, après révocation du premier sursis. En outre, compte tenu de l'ampleur et la durée de son activité de receleur, il peut être soutenu que le recourant a mis en danger l'ordre public de façon grave : en effet, il a agi de manière répétée, et sur une longue durée [cf. rapport de la police de (...) du 29 mai 2008], n'hésitant pas à récidiver ; de plus, l'infraction a porté sur des quantités très importantes, puisqu'un total de 1465 pièces (essentiellement des bijoux en or) a été inventorié par la police, pièces provenant toutes de cambriolages commis par 35 ressortissants géorgiens différents (identifiés sur photographies par le recourant) et revendues à l'intéressé (cf. le jugement du 14 avril 2009). A cela s'ajoute que A._______ a été interpellé une nouvelle fois par la police de (...) en date du 5 mai 2009, soit peu après sa seconde condamnation (cf. rapport de police du même jour) ; a alors été découvert, dans sa chambre, un total de 184 bijoux, montres et téléphones portables, pour lesquels il n'a pu fournir de justificatifs.</w:t>
      </w:r>
    </w:p>
    <w:p>
      <w:r>
        <w:rPr>
          <w:b/>
        </w:rPr>
        <w:t>E. 8.5</w:t>
      </w:r>
    </w:p>
    <w:p>
      <w:r>
        <w:t>Les antécédents de l'intéressé justifient donc clairement d'appliquer à son cas l'art. 83 al. 7 LEtr, même s'il n'a plus récidivé depuis 2009. En conséquence, quand bien même son état de santé serait de nature à rendre inexigible l'exécution de son renvoi, il s'agirait d'un point que le Tribunal peut renoncer à examiner.</w:t>
      </w:r>
    </w:p>
    <w:p>
      <w:r>
        <w:rPr>
          <w:b/>
        </w:rPr>
        <w:t>E. 9</w:t>
      </w:r>
    </w:p>
    <w:p>
      <w:r>
        <w:t>Dès lors, le recours doit être admis et la décision attaquée annulée en ce qui concerne B._______ et sa fille C._______. L'autorité de première instance est invitée à prononcer leur admission provisoire. Il est en revanche rejeté en ce qui concerne A._______.</w:t>
      </w:r>
    </w:p>
    <w:p>
      <w:r>
        <w:rPr>
          <w:b/>
        </w:rPr>
        <w:t>E. 10.1</w:t>
      </w:r>
    </w:p>
    <w:p>
      <w:r>
        <w:t>La recourante et sa fille ayant eu gain de cause, la requête d'assistance judiciaire partielle est sans objet en ce qui les concerne. Par ailleurs, le bénéfice de l'assistance judiciaire partielle est accordé à A._______, le recours ne s'étant pas révélé manifestement voué à l'échec et le recourant ne disposant pas des ressources lui permettant d'assumer les frais de la procédure (art. 65 al. 1 PA).</w:t>
      </w:r>
    </w:p>
    <w:p>
      <w:r>
        <w:rPr>
          <w:b/>
        </w:rPr>
        <w:t>E. 10.2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10.3</w:t>
      </w:r>
    </w:p>
    <w:p>
      <w:r>
        <w:t>En l'espèce, le Tribunal estime les frais engagés par les recourants, sur la base de la note de frais jointe au recours, d'un montant de 1400 francs, et d'une estimation raisonnable des frais postérieurs (art. 14 al. 2 du règlement du 11 décembre 2006 concernant les frais, dépens et indemnités fixés par le Tribunal administratif fédéral [FITAF, RS 173.320.2]), à la somme globale de 1600 francs. Le recours n'étant admis qu'autant qu'il concerne B._______ et sa fille, il leur sera alloué à titre de dépens la moitié de cette somme, soit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