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E-2061/2010 vom 14. April 2010</w:t>
      </w:r>
    </w:p>
    <w:p>
      <w:r>
        <w:t>Bundesverwaltungsgericht, 2010-04-14, DE</w:t>
      </w:r>
    </w:p>
    <w:p>
      <w:r>
        <w:rPr>
          <w:b/>
        </w:rPr>
        <w:t xml:space="preserve">Quelle: </w:t>
      </w:r>
      <w:r>
        <w:t>https://mcp.opencaselaw.ch/entscheid/bvger_E-2061_2010</w:t>
      </w:r>
    </w:p>
    <w:p>
      <w:r>
        <w:t>FR: TAF E-2061/2010 du 14 avril 2010</w:t>
      </w:r>
    </w:p>
    <w:p>
      <w:r>
        <w:t>IT: TAF E-2061/2010 del 14 aprile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der Beschwerdeführerin davon auszugehen, dass die am 31. März 2010 beim Bundesverwaltungsgericht eingegangene Beschwerde rechtzeitig erfolgt ist.</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1.4</w:t>
      </w:r>
    </w:p>
    <w:p>
      <w:r>
        <w:t>Die Amtssprachen des Bundes sind das Deutsche, Französische und Italienische (vgl. Art. 70 Abs. 1 der Bundesverfassung der Schweizerischen Eidgenossenschaft vom 18. April 1999 [BV, SR 101]). Aus prozessökonomischen Gründen wird vorliegend auf eine Rückweisung der englischsprachigen Beschwerde zur Übersetzung in eine Amtssprache verzichtet, da die hinreichend begründeten Rechtsbegehren verständlich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BFM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 S. 131 ff.; die dort akzentuierte Praxis hat nach bloss redaktionellen Änderungen bei der letzten Totalrevision des Asylgesetzes nach wie vor Gültigkeit).</w:t>
      </w:r>
    </w:p>
    <w:p>
      <w:r>
        <w:rPr>
          <w:b/>
        </w:rPr>
        <w:t>E. 5.1</w:t>
      </w:r>
    </w:p>
    <w:p>
      <w:r>
        <w:t>Das BFM führte in der angefochtenen Verfügung aus, die Beschwerdeführerin sei nie Mitglied einer militanten Organisation oder politisch aktiv gewesen. Die Behörden hätten nach dem Ehemann der Beschwerdeführerin gesucht, da sie vermuten würden, er habe Verbindungen zur LTTE. In diesem Zusammenhang sei die Beschwerdeführerin gesucht und befragt, indes nie intensiv verfolgt worden. Die geltend gemachten Vorbringen seien im Hinblick auf die Erteilung einer Einreisebewilligung nicht relevant. Sodann gebe es keine konkreten Hinweise darauf, dass die Töchter der Beschwerdeführerin von den Behörden oder anderen Gruppierungen verfolgt würden. Nachteile, welche auf die allgemein politischen, wirtschaftlichen oder sozialen Lebensbedingungen in einem Staat zurückzurühren seien, stellten keine für die Erteilung einer Einreisebewilligung relevante Verfolgung im Sinne von Art. 3 AsylG dar. Vor diesem Hintergrund erübrige es sich auf die - vorhandenen - Ungereimtheiten in den Aussagen einzugehen. Einzig sei festzuhalten, dass die Beschwerdeführerin zunächst erklärt habe, ihr Ehemann befinde sich in D._______, später hingegen zu Protokoll gegeben habe, sie kenne dessen Aufenthaltsort nicht.</w:t>
      </w:r>
    </w:p>
    <w:p>
      <w:r>
        <w:rPr>
          <w:b/>
        </w:rPr>
        <w:t>E. 5.2</w:t>
      </w:r>
    </w:p>
    <w:p>
      <w:r>
        <w:t>In der Rechtsmitteleingabe führt die Beschwerdeführerin aus, sie und ihre Kinder würden in grosser Gefahr leben und würden daher die Voraussetzungen zur Anerkennung als Flüchtlinge erfüllen.</w:t>
      </w:r>
    </w:p>
    <w:p>
      <w:r>
        <w:rPr>
          <w:b/>
        </w:rPr>
        <w:t>E. 5.3</w:t>
      </w:r>
    </w:p>
    <w:p>
      <w:r>
        <w:t>Vorweg ist festzuhalten, dass eine schwierige Lebenssituation und insoweit humanitäre Überlegungen keinen Grund für die Bewilligung zur Einreise in die Schweiz und damit einen Grund zur Anerkennung als Flüchtling darstellen. Sodann hat bereits das BFM in der angefochtenen Verfügung festgestellt, dass die geltend gemachten Vorbringen der Beschwerdeführerin nicht einreise- und damit auch nicht asylrelevant sind. Die Beschwerdeführerin weist kein politisches Profil auf und hat keine konkreten Benachteiligungen aus einem Grund nach Art. 3 AsylG geltend gemacht. Die Befragungen der Beschwerdeführerin durch den CID galten offensichtlich der Suche nach ihrem untergetauchten Ehemann und nicht ihrer Person und die angeführten Drohungen stellen nach ihrer Art und Intensität keine asylrelevanten Benachteiligungen dar. Mit dem blossen Wiederholen ihrer bereits im vorinstanzlichen Verfahren geltend gemachten Vorbringen legt die Beschwerdeführerin sodann nicht substanziiert dar, inwiefern das BFM zu Unrecht die abweisende Verfügung vom 28. Januar 2010 verlassen hat. Es kann deshalb vollumfänglich auf die zutreffenden Erwägungen in der angefochtenen Verfügung verwiesen werden. Der Beschwerdeführerin ist es somit nicht gelungen, eine aktuelle und unmittelbare Gefährdung im Sinne von Art. 3 AsylG beziehungsweise konkrete Hinweise auf eine künftige, asylrelevante Verfolgung und eine damit einhergehende, begründete Verfolgungsfurcht darzulegen. Damit ist der Beschwerdeführerin ein weiterer Verbleib in ihrem Heimatland zumutbar.</w:t>
      </w:r>
    </w:p>
    <w:p>
      <w:r>
        <w:rPr>
          <w:b/>
        </w:rPr>
        <w:t>E. 6</w:t>
      </w:r>
    </w:p>
    <w:p>
      <w:r>
        <w:t>Zusammenfassend ist festzustellen, dass die Beschwerdeführerin keine Verfolgung im Sinne von Art. 3 AsylG glaubhaft machen konnte und nicht als Flüchtling anerkannt werden kann. Aufgrund der vorstehenden Erwägungen erübrigt es sich, auf die weiteren Ausführungen einzugehen, da sie am festgestellten Ergebnis nichts zu ändern vermögen. Das BFM hat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