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E-2060/2009 vom 18. Mai 2009</w:t>
      </w:r>
    </w:p>
    <w:p>
      <w:r>
        <w:t>Bundesverwaltungsgericht, 2009-05-18, DE</w:t>
      </w:r>
    </w:p>
    <w:p>
      <w:r>
        <w:rPr>
          <w:b/>
        </w:rPr>
        <w:t xml:space="preserve">Quelle: </w:t>
      </w:r>
      <w:r>
        <w:t>https://mcp.opencaselaw.ch/entscheid/bvger_E-2060_2009</w:t>
      </w:r>
    </w:p>
    <w:p>
      <w:r>
        <w:t>FR: TAF E-2060/2009 du 18 mai 2009</w:t>
      </w:r>
    </w:p>
    <w:p>
      <w:r>
        <w:t>IT: TAF E-2060/2009 del 18 maggio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vom 30. März 2009 wird nicht eingetreten.</w:t>
      </w:r>
    </w:p>
    <w:p>
      <w:r>
        <w:rPr>
          <w:b/>
        </w:rPr>
        <w:t>E. 3</w:t>
      </w:r>
    </w:p>
    <w:p>
      <w:r>
        <w:t>Es werden keine Verfahrenskosten auferlegt. und verfügt:</w:t>
      </w:r>
    </w:p>
    <w:p>
      <w:r>
        <w:rPr>
          <w:b/>
        </w:rPr>
        <w:t>E. 4</w:t>
      </w:r>
    </w:p>
    <w:p>
      <w:r>
        <w:t>Die Akten werden im Sinne der Erwägungen dem BFM überwiesen. Der Vollzug der Wegweisung bleibt ausgesetzt, bis das BFM anderweitige Anordnungen getroffen hat.</w:t>
      </w:r>
    </w:p>
    <w:p>
      <w:r>
        <w:rPr>
          <w:b/>
        </w:rPr>
        <w:t>E. 5</w:t>
      </w:r>
    </w:p>
    <w:p>
      <w:r>
        <w:t>Dieses Urteil beziehungsweise diese Verfügung geht an den Beschwerdeführer, das BFM und die zuständige kantonale Behörde.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