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E-205/2009 vom 29. September 2010</w:t>
      </w:r>
    </w:p>
    <w:p>
      <w:r>
        <w:t>Bundesverwaltungsgericht, 2010-09-29, FR</w:t>
      </w:r>
    </w:p>
    <w:p>
      <w:r>
        <w:rPr>
          <w:b/>
        </w:rPr>
        <w:t xml:space="preserve">Quelle: </w:t>
      </w:r>
      <w:r>
        <w:t>https://mcp.opencaselaw.ch/entscheid/bvger_E-205_2009</w:t>
      </w:r>
    </w:p>
    <w:p>
      <w:r>
        <w:t>FR: TAF E-205/2009 du 29 septembre 2010</w:t>
      </w:r>
    </w:p>
    <w:p>
      <w:r>
        <w:t>IT: TAF E-205/2009 del 29 settembre 2010</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(art. 83 let. d ch. 1 de la loi du 17 juin 2005 sur le Tribunal fédéral [LTF, RS 173.110]).</w:t>
      </w:r>
    </w:p>
    <w:p>
      <w:r>
        <w:rPr>
          <w:b/>
        </w:rPr>
        <w:t>E. 1.2</w:t>
      </w:r>
    </w:p>
    <w:p>
      <w:r>
        <w:t>La recourante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 recourante n'a pas été en mesure de faire apparaître la crédibilité de ses motifs.</w:t>
      </w:r>
    </w:p>
    <w:p>
      <w:r>
        <w:rPr>
          <w:b/>
        </w:rPr>
        <w:t>E. 3.2</w:t>
      </w:r>
    </w:p>
    <w:p>
      <w:r>
        <w:t>Il faut en premier lieu constater, de manière générale, que le récit, flou et schématique, est dénué de toute précision vérifiable et peut à bon droit être qualifié d'inconsistant, ce qui plaide contre sa crédibilité. Cette appréciation se trouve renforcée par la manière décousue et vague dont l'intéressée a dépeint les faits se trouvant à l'origine de son départ.</w:t>
      </w:r>
    </w:p>
    <w:p>
      <w:r>
        <w:rPr>
          <w:b/>
        </w:rPr>
        <w:t>E. 3.3</w:t>
      </w:r>
    </w:p>
    <w:p>
      <w:r>
        <w:t>Par ailleurs, si le Tribunal ne remet pas en cause l'appartenance de F._______ au PKK et sa mort au combat, qui paraissent établies, il n'est pas convaincu qu'il en soit découlé une persécution de la recourante. En premier lieu, celle-ci n'a pu indiquer si c'était l'engagement de son frère, ou la mort de celui-ci, qui avait déclenché le harcèlement des autorités à son égard ; dans la seconde hypothèse (que l'intéressée a confirmée dans l'acte de recours), l'attitude de la police ne répondrait à aucune logique. En effet, les autorités turques peuvent effectivement exercer des pressions et représailles à l'encontre des membres de la famille d'une personne recherchée, lorsqu'elles soupçonnent que des contacts étroits existent entre eux, ou encore à l'encontre des membres de la famille d'un opposant politique, lorsqu'elles veulent les intimider et s'assurer qu'ils n'envisagent pas d'entreprendre eux-mêmes des activités politiques illégales. Il est d'autant plus vraisemblable que ces pressions soient mises en ?uvre que la personne recherchée ou l'opposant impliqué est engagé de façon significative en faveur d'une organisation politique illégale. Ces violences peuvent constituer une persécution réfléchie déterminante au sens de l'art. 3 LAsi (voir notamment : Jurisprudence et informations de la Commission suisse de recours en matière d'asile [JICRA] 2005 n° 21 consid. 10.2.3. p. 199s. ; JICRA 1994 n° 5 p. 39ss et n° 17 p. 132ss ; JICRA 1993 n° 6 consid. 3b et 4 p. 37 ; OSAR, Turquie-Mise à jour, octobre 2007). En l'espèce, toutefois, on voit mal comment les autorités auraient pu ignorer le décès déjà ancien de F._______, dont la presse du PKK a eu rapidement connaissance. Dès lors, point n'était besoin d'interroger la recourante à ce sujet, ceci durant plusieurs années. Le harcèlement décrit est dès lors douteux. De plus, comme déjà relevé, la description des faits ne comporte aucune précision ; bien qu'arrêtée, à l'en croire, plusieurs dizaines de fois, la recourante n'a pas été en mesure d'indiquer les endroits où elle aurait été emmenée, que ce soit à Istanbul ou à M._______, bien que ces endroits n'aient guère pu être à chaque fois différents. Son propre engagement pour le DTP, évoqué au stade de la réplique, mais auquel elle n'avait fait aucune allusion jusqu'alors, et qui n'est d'ailleurs pas documenté, ne mérite aucune crédibilité. L'intéressée n'a pas non plus expliqué pourquoi sa mère et ses cinq soeurs, demeurées en Turquie, n'auraient jamais rencontré les mêmes ennuis avec les autorités. Enfin, et par-dessus tout, le Tribunal ne peut accorder aucun crédit aux assertions tardives de l'intéressée, qui prétend avoir été la victime de viols multiples par les policiers ou les militaires ; dans la mesure où ces actes se seraient régulièrement renouvelés, au minimum chaque mois, durant des années, point n'est besoin d'insister sur la complète invraisemblance du comportement de la recourante, qui n'aurait pas entrepris de se mettre plus rapidement à l'abri de tels sévices. De plus, si l'évocation d'un viol peut en effet être retardée en raison des séquelles du traumatisme subi et d'inhibitions d'ordre culturel (cf. ATAF 2009/51consid. 4.2.3 p. 743 ; JICRA 2003 n° 17 consid. 4a-c p. 105-107), force est cependant de constater que l'intéressée n'a montré aucune trace d'un tel traumatisme et n'a jamais consulté de médecin pour ce motif, ni suivi un quelconque traitement.</w:t>
      </w:r>
    </w:p>
    <w:p>
      <w:r>
        <w:rPr>
          <w:b/>
        </w:rPr>
        <w:t>E. 3.4</w:t>
      </w:r>
    </w:p>
    <w:p>
      <w:r>
        <w:t>Les documents produits à l'appui des motifs ne sont pas de nature à rendre ceux-ci davantage crédibles. La recourante a elle-même admis que l'acte d'accusation qu'elle avait produit n'était pas authentique, et l'ambassade a confirmé qu'aucune poursuite pénale et aucune fiche de police ne la concernaient. Quant aux diverses attestations provenant d'amis et de parents, il doit être relevé que quatre d'entre elles sont rédigées dans les mêmes termes, et ont été manifestement élaborées à l'initiative de la recourante elle-même, qui les a fait signer ; aucune ne contient d'ailleurs de détails vérifiables ou ne dépasse le niveau des généralités. On peut d'ailleurs constater que l'intéressée n'a jamais prétendu avoir rencontré des problèmes en raison du départ de plusieurs de ses proches, départ dont les raisons restent inconnues. Enfin, si F._______ apparaît avoir été privé de la nationalité turque, aucune conclusion claire ne peut être tirée des mentions du livret de famille concernant J._______ et K._______ ; il ne s'agit en tout cas pas d'un retrait de nationalité, qui serait explicite. L'intéressée n'a d'ailleurs aucunement expliqué en quoi son frère et sa soeur avaient pu attirer défavorablement l'attention des autorités.</w:t>
      </w:r>
    </w:p>
    <w:p>
      <w:r>
        <w:rPr>
          <w:b/>
        </w:rPr>
        <w:t>E. 3.5</w:t>
      </w:r>
    </w:p>
    <w:p>
      <w:r>
        <w:t>Dès lors, au vu du manque général de crédibilité des motifs soulevés, et de la production de faux documents, il apparaît clairement que la demande n'est pas fondée. 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que les dires de l'intéressée n'étant pas crédibles, rien ne permet d'admettre qu'elle soit exposée à des risques de cette nature. Dès lors, l'exécution du renvoi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Depuis mars 2003, l'autorité de recours compétente en matière d'asile considère qu'au vu de l'apaisement de la situation en Turquie, l'exécution du renvoi dans toutes les provinces de ce pays est, dans le principe, raisonnablement exigible (cf. JICRA 2004 n° 8 p. 54ss) ; seuls des facteurs de nature individuelle peuvent donc faire obstacle à cette exécution.</w:t>
      </w:r>
    </w:p>
    <w:p>
      <w:r>
        <w:rPr>
          <w:b/>
        </w:rPr>
        <w:t>E. 7.3</w:t>
      </w:r>
    </w:p>
    <w:p>
      <w:r>
        <w:t>En outre, il ne ressort du dossier aucun élément dont on pourrait inférer que l'exécution du renvoi impliquerait une mise en danger concrète de la recourante et de ses enfants. A cet égard, l'autorité de céans relève que ces derniers sont appelés à regagner la Turquie avec E._______, leur mari et père, et qu'ils n'ont pas allégué de problème de santé particulier. Au demeurant, l'intéressée dispose encore en Turquie d'un riche réseau familial, sur lequel elle pourra compter à son retour.</w:t>
      </w:r>
    </w:p>
    <w:p>
      <w:r>
        <w:rPr>
          <w:b/>
        </w:rPr>
        <w:t>E. 7.4</w:t>
      </w:r>
    </w:p>
    <w:p>
      <w:r>
        <w:t>Pour ces motifs, l'exécution du renvoi doit être considérée comme raisonnablement exigible.</w:t>
      </w:r>
    </w:p>
    <w:p>
      <w:r>
        <w:rPr>
          <w:b/>
        </w:rPr>
        <w:t>E. 8</w:t>
      </w:r>
    </w:p>
    <w:p>
      <w:r>
        <w:t>Enfin, la recourante est en mesure d'entreprendre toute démarche nécessaire auprès de la représentation de son pays d'origine en vue de l'obtention de documents de voyage lui permettant de quitter la Suisse avec les siens. L'exécution du renvoi ne se heurte donc pas à des obstacles insurmontables d'ordre technique et s'avère également possible au sens de l'art. 83 al. 2 LEtr.</w:t>
      </w:r>
    </w:p>
    <w:p>
      <w:r>
        <w:rPr>
          <w:b/>
        </w:rPr>
        <w:t>E. 9</w:t>
      </w:r>
    </w:p>
    <w:p>
      <w:r>
        <w:t>Il s'ensuit que le recours, en tant qu'il conteste la décision de renvoi et son exécution, doit être également rejeté.</w:t>
      </w:r>
    </w:p>
    <w:p>
      <w:r>
        <w:rPr>
          <w:b/>
        </w:rPr>
        <w:t>E. 10</w:t>
      </w:r>
    </w:p>
    <w:p>
      <w:r>
        <w:t>Il n'y a pas lieu de donner suite à la requête d'assistance judiciaire partielle ; en effet, son mari occupant un emploi et lui devant assistance (art. 159 al. 3 du code civil suisse du 10 décembre 1907 [CC, RS 210]), la recourante est en mesure d'assumer les frais de la procédure. Dès lors, au vu de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