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E-2059/2020 vom 17. August 2023</w:t>
      </w:r>
    </w:p>
    <w:p>
      <w:r>
        <w:t>Bundesverwaltungsgericht, 2023-08-17, DE</w:t>
      </w:r>
    </w:p>
    <w:p>
      <w:r>
        <w:rPr>
          <w:b/>
        </w:rPr>
        <w:t xml:space="preserve">Quelle: </w:t>
      </w:r>
      <w:r>
        <w:t>https://mcp.opencaselaw.ch/entscheid/bvger_E-2059_2020</w:t>
      </w:r>
    </w:p>
    <w:p>
      <w:r>
        <w:t>FR: TAF E-2059/2020 du 17 août 2023</w:t>
      </w:r>
    </w:p>
    <w:p>
      <w:r>
        <w:t>IT: TAF E-2059/2020 del 17 agosto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w:t>
      </w:r>
    </w:p>
    <w:p>
      <w:r>
        <w:t>E-2059/2020 Seite 4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w:t>
      </w:r>
    </w:p>
    <w:p>
      <w:r>
        <w:t>E-2059/2020 Seite 5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(vgl. BVGE 2015/3 E. 6.5.1 m.w.H.).</w:t>
      </w:r>
    </w:p>
    <w:p>
      <w:r>
        <w:rPr>
          <w:b/>
        </w:rPr>
        <w:t>E. 5.1</w:t>
      </w:r>
    </w:p>
    <w:p>
      <w:r>
        <w:t>Die Vorinstanz begründete die angefochtene Verfügung im Wesentli- chen mit der Unglaubhaftigkeit der Vorbringen des Beschwerdeführers. An- lässlich der BzP habe er geltend gemacht, er habe Anfang 2015 ein vier- monatiges Training bei den Hizb-ul-Mujahideen absolviert, danach hätten diese ihn nach Kaschmir in den Kampf schicken wollen. Weil er dies nicht gewollt habe, habe er sein Heimatdorf verlassen und sei ins Ausland geflo- hen. Anlässlich der Anhörung habe er erklärt, im September 2014 ein drei- monatiges Training bei den Hizb-ul-Mujahideen absolviert zu haben, An- fang 2015 nach Kaschmir gegangen zu sein und dort erneut ein dreimona- tiges Training absolviert zu haben. Gleichzeitig habe er erklärt, unmittelbar nach seiner Ankunft in der Stadt Kaschmir aufgefordert worden zu sein, die Hizb-ul-Mujahideen auf der besetzten Seite von Kaschmir zu unterstützen. Auf diese Widersprüche angesprochen habe er erklärt, man habe ihn an- lässlich der BzP angewiesen, sich kurz zu fassen. Auch damals habe er von sechs und nicht von vier Monaten Training gesprochen. Dieser Erklä- rungsversuch vermöge nicht zu überzeugen. Bei seinen widersprüchlichen Angaben handle es sich nicht um ein unbedeutendes Detail, welches leicht vergessen beziehungsweise verwechselt werden könne, vielmehr be- schlage es den Kerngehalt seiner Vorbringen. Der BzP könne klar entnom- men werden, dass er ein viermonatiges Training absolviert und abgelehnt habe, nach Kaschmir zu gehen. Weil die Hizb-ul-Mujahideen ihn habe zwingen wollen, nach Kaschmir zu gehen, sei er geflohen. Anlässlich der Anhörung habe er komplett widersprüchliche Angaben gemacht, indem er erklärt habe, ein insgesamt sechsmonatiges Training absolviert zu haben und in Kaschmir gewesen zu sein. Von einer Person, die das geltend Ge- machte tatsächlich selber erlebt habe, dürfe erwartet werden, dass sie in den Kernvorbringen gleichlautende Angaben mache, wenn auch einmal knapp und einmal ausführlich.</w:t>
      </w:r>
    </w:p>
    <w:p>
      <w:r>
        <w:t>E-2059/2020 Seite 6 Weiter sei er auch nicht in der Lage gewesen, seinen angeblichen Aufent- halt in Kaschmir überzeugend und detailreich zu beschreiben. Seine dies- bezüglichen Aussagen seien äusserst unsubstantiiert, dürftig und wider- sprüchlich ausgefallen, obwohl er mehrfach aufgefordert worden sei, aus- führlich zu berichten. Er sei auch nicht in der Lage gewesen anzugeben, in welchem Dorf in der Nähe von Kaschmir er sich aufgehalten und ein drei- monatiges Training absolviert habe. Des Weiteren habe er das Ausbil- dungszentrum nicht einmal ansatzweise beschreiben können. Schliesslich habe er erklärt, nach seiner Ausreise seien seine Mutter und sein Bruder bedroht worden. Nachgefragt, wie konkret sich diese Drohun- gen geäussert hätten, habe er geantwortet, Leute seien zu seiner Mutter gekommen und hätten sich nach ihm erkundigt. Auf erneute Nachfrage hin habe er ausgeführt, nichts mehr dazu sagen zu können, da er nichts erfah- ren habe. An einer anderen Stelle habe er erklärt, er habe mit seinem Vater wöchentlich Kontakt und dieser pflege seinerseits Kontakt mit seiner Mutter und seinem Bruder. Es dürfe folglich davon ausgegangen werden, dass er erfahren hätte, wenn seine Mutter und sein Bruder konkret behelligt wor- den wären.</w:t>
      </w:r>
    </w:p>
    <w:p>
      <w:r>
        <w:rPr>
          <w:b/>
        </w:rPr>
        <w:t>E. 5.2</w:t>
      </w:r>
    </w:p>
    <w:p>
      <w:r>
        <w:t>Auf Beschwerdeebene hält der Beschwerdeführer den vorinstanzlichen Ausführungen entgegen, er habe seine Asylgründe – entgegen der Auffas- sung der Vorinstanz – glaubhaft gemacht. Bei der BzP sei er explizit ange- halten worden, sich kurz zu fassen. Seine Vorbringen seien komplex. An- lässlich der BzP habe er sich nicht überlegt ausdrücken können, weshalb er sich wohl missverständlich geäussert habe. Man könne keinen Wider- spruch darin sehen, dass er anlässlich der Anhörung zusätzliche Erzäh- lungselemente hinzugefügt habe, zumal dies an der Anhörung erwartet werde. Er habe durchwegs detailliert erzählt. Während mehrerer Monate habe er sich einem Training der Hizb-ul-Mujahideen unterzogen. Sein Name, seine Familie und sein Wohnort seien diesen deshalb bekannt. Er habe sich trotz seines Trainings geweigert, an den effektiven Kampfhand- lungen teilzunehmen, und sei geflüchtet. Bei einer Rückkehr würden sie ihn als Verräter sehen, foltern und töten. Seine vermeintlich unterschiedli- che Darlegung an der Anhörung sei – entgegen der Auffassung der Vo- rinstanz – ein Indiz für die Glaubhaftigkeit seiner Aussagen, stamme dies doch daher, dass er das tatsächlich Erlebte im Kopf erneut durchgegangen sei, während er erzählt habe. Die asylrechtliche Relevanz seiner Vorbrin- gen stehe deshalb ausser Frage. Er habe begründete Furcht vor Verfol- gung im Falle einer Rückkehr.</w:t>
      </w:r>
    </w:p>
    <w:p>
      <w:r>
        <w:t>E-2059/2020 Seite 7</w:t>
      </w:r>
    </w:p>
    <w:p>
      <w:r>
        <w:rPr>
          <w:b/>
        </w:rPr>
        <w:t>E. 6.1</w:t>
      </w:r>
    </w:p>
    <w:p>
      <w:r>
        <w:t>Nach Prüfung der Akten kommt das Bundesverwaltungsgericht zum Schluss, dass die Vorinstanz im Ergebnis zu Recht die Flüchtlingseigen- schaft des Beschwerdeführers verneint und folglich dessen Asylgesuch ab- gelehnt hat.</w:t>
      </w:r>
    </w:p>
    <w:p>
      <w:r>
        <w:rPr>
          <w:b/>
        </w:rPr>
        <w:t>E. 6.2</w:t>
      </w:r>
    </w:p>
    <w:p>
      <w:r>
        <w:t>Das Bundesverwaltungsgericht ist nicht an die Begründung der Vorinstanz gebunden (Art. 62 Abs. 4 VwVG); es kann die Beschwerde auch aus anderen Überlegungen als jenen der Vorinstanz abweisen (sog. Motivsubstitution; vgl. MADELEINE CAMPRUBI, in: AUER/MÜLLER/ SCHINDLER [Hrsg.], Kommentar zum VwVG, 2. Aufl., 2019, N 16 zu Art. 62 VwVG; ALFRED KÖLZ/ISABELLE HÄNER/MARTIN BERTSCHI, Verwal- tungsverfahren und Verwaltungsrechtspflege des Bundes, 3. Aufl., 2013, S. 398).</w:t>
      </w:r>
    </w:p>
    <w:p>
      <w:r>
        <w:rPr>
          <w:b/>
        </w:rPr>
        <w:t>E. 6.3</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und vor denen sie keinen ausreichenden staatlichen Schutz erwarten kann (vgl. BVGE 2007/31 E. 5.2 f. und 2008/4 E. 5.2, je m.w.H.). Eine begründete Furcht vor Verfolgung im Sinne dieser Bestimmung liegt vor, wenn ein konkreter Anlass zur Annahme besteht, Letztere hätte sich – aus der Sicht im Zeitpunkt der Ausreise – mit beachtlicher Wahrscheinlich- keit und in absehbarer Zeit verwirklicht oder werde sich – auch aus heutiger Sicht – mit ebensolcher Wahrscheinlichkeit in abseh- barer Zukunft verwirklichen. Es müssen demnach hinreichende Anhalts- punkte für eine konkrete Bedrohung vorhanden sein, die bei jedem Men- schen in vergleichbarer Lage Furcht vor Verfolgung und damit den Ent- schluss zur Flucht hervorrufen würden. Aufgrund der Subsidiarität des flüchtlingsrechtlichen Schutzes setzt die Anerkennung der Flüchtlings- eigenschaft ausserdem voraus, dass die betroffene Person in ihrem Heimat- oder Herkunftsstaat keinen ausreichenden Schutz finden kann (vgl. BVGE 2011/51 E. 6, 2008/12 E. 7.2.6.2 und 2008/4 E. 5.2). Ausgangs- punkt für die Beurteilung der Flüchtlingseigenschaft ist folglich die Frage nach der im Zeitpunkt der Ausreise vorhandenen Verfolgung oder begrün- deten Furcht vor einer solchen. Die Situation im Zeitpunkt des Asylent- scheids ist jedoch im Rahmen der Prüfung nach der Aktualität der Verfol- gungsfurcht ebenfalls wesentlich. Veränderungen der objektiven Situation</w:t>
      </w:r>
    </w:p>
    <w:p>
      <w:r>
        <w:t>E-2059/2020 Seite 8 im Heimatstaat zwischen Ausreise und Asylentscheid sind deshalb zuguns- ten und zulasten der das Asylgesuch stellenden Person zu berücksichtigen (vgl. zum Ganzen BVGE 2011/51 E. 6 S. 1016 f., 2011/50 E. 3.1.1 und 3.1.2 S. 996 ff., 2010/57 E. 2, 2008/34 E. 7.1 S. 507 f., 2008/12 E. 5.2 S. 154 f. und 2008/4 E. 5.2 S. 37, jeweils m.w.H.; WALTER STÖCKLI, Asyl, in: Uebersax / Rudin / Hugi Yar / Geiser [Hrsg.], Ausländerrecht, 2. Aufl., 2009, Rz. 11.17 und 11.18).</w:t>
      </w:r>
    </w:p>
    <w:p>
      <w:r>
        <w:rPr>
          <w:b/>
        </w:rPr>
        <w:t>E. 6.4</w:t>
      </w:r>
    </w:p>
    <w:p>
      <w:r>
        <w:t>Eine Verfolgung durch nichtstaatliche Dritte kann nur dann flüchtlings- rechtliche Relevanz entfalten, wenn es der betroffenen Person nicht mög- lich ist, im Heimatstaat adäquaten Schutz zu finden. Nach der sogenannten Schutztheorie (vgl. EMARK 2006 Nr. 18) ist nichtstaatliche Verfolgung flüchtlingsrechtlich nur dann beachtlich, wenn der Staat unfähig oder nicht willens ist, Schutz vor einer solchen Verfolgung zu bieten. Eine Garantie für langfristigen individuellen Schutz der von nichtstaatlicher Ver- folgung bedrohten Person kann dabei nicht verlangt werden; so kann es keinem Staat gelingen, seinen Bürgerinnen und Bürgern jederzeit und überall eine absolute Sicherheit zu gewährleisten. Demgegenüber muss der Staat eine funktionierende und effiziente Schutzinfrastruktur zur Verfü- gung stellen, deren Inanspruchnahme der betroffenen Person objektiv möglich und individuell zumutbar sein muss, was jeweils im Rahmen einer Einzelfallprüfung unter Berücksichtigung des länderspezifischen Kontexts zu beurteilen ist (vgl. BVGE 2011/51 E. 7.3 f. und statt vieler das Urteil des BVGer D-2391/2022 vom 24. Juni 2022, E. 7.1.1, je m.w.H.).</w:t>
      </w:r>
    </w:p>
    <w:p>
      <w:r>
        <w:rPr>
          <w:b/>
        </w:rPr>
        <w:t>E. 6.5</w:t>
      </w:r>
    </w:p>
    <w:p>
      <w:r>
        <w:t>Bei den vom Beschwerdeführer vorgebrachten beziehungsweise be- fürchteten Übergriffen durch die Hizb-ul-Mujahideen handelt es sich um eine Verfolgung durch Dritte. Dass die Hizb-ul-Mujahideen Kinder als Frei- willige oder durch Entführung rekrutieren, ist nicht auszuschliessen (vgl. bspw. South Asian Terrorism Portal [SATP], Abductions by Terrorists in Jammu and Kashmir, undatiert, https://www.satp.org/satporgtp/count- ries/india/sttes/jandk/data_sheets/yearwise_data_of_abductions.htm, ab- gerufen am 17.08.2023). Indes fehlen grundsätzliche Informationen zu De- serteuren aus den Camps der Hizb-ul-Mujahideen (vgl. Immigration and Refugee Board of Canada (IRB), Whether the Hizbul-Mujahideen has an office in Muzaffarabad, Azad Kashmir; whether there are reports that it sends threatening letters, on its letterhead, to potential recruits and/or es- capées from its camps, 27.01.2000, https://www.ecoi.net/en/docu- ment/1275962.html, abgerufen am 17.08.2023). Aus den Akten ergeben sich keine stichhaltigen Hinweise für eine konkrete, bis heute anhaltende Bedrohung durch die Hizb-ul-Mujahideen mithin eine begründete Furcht</w:t>
      </w:r>
    </w:p>
    <w:p>
      <w:r>
        <w:t>E-2059/2020 Seite 9 des Beschwerdeführers vor Verfolgung asylrelevanten Ausmasses im Sinne von Art. 3 AsylG (vgl. auch E. 6.1 oben). Hieran vermögen auch sein unbelegtes Vorbringen, wonach die Hizb-ul-Mujahideen nach seiner Flucht begonnen hätten, seinen Bruder und seine Mutter zu bedrohen und sich nach ihm zu erkundigen (vgl. SEM-Akte A20 F50, F156 ff. und F228), oder seine Aussagen, wonach ihm sein Ausbildner gesagt habe, er würde getö- tet, wenn er nicht zu ihnen zurückkehre (vgl. SEM-Akte A20 F185 ff.), nichts zu ändern.</w:t>
      </w:r>
    </w:p>
    <w:p>
      <w:r>
        <w:rPr>
          <w:b/>
        </w:rPr>
        <w:t>E. 6.6</w:t>
      </w:r>
    </w:p>
    <w:p>
      <w:r>
        <w:t>Verschiedenen Quellen gehen davon aus, dass die Hizb-ul-Mujahideen in gewissem Umfang durch das pakistanische Militär und den Geheim- dienst unterstützt werden. Selbst wenn die Hizb-ul-Mujahideen nicht wie andere Organisationen im Rahmen des Kampfs gegen den Terrorismus of- fiziell verboten wurde und zeitweise von Pakistan unterstützt wurden (vgl. Stephen Tankel / United States Institute of Peace (USIP), Domestic Bar- riers to Dismantling The Militant Infrastructure in Pakistan, 2013, https://www.usip.org/events/domestic-barriers-dismantling-militant-infra- structure-pakistan, abgerufen am 17.08.2023), lässt sich insgesamt nicht darauf schliessen, dass die Hizb-ul-Mujahideen vorbehaltlos durch die pa- kistanischen Behörden unterstützt werden. Es rechtfertigt sich demnach nicht, davon auszugehen, dass diese generell keinen Schutz gegen Über- griffe durch die Hizb-ul-Mujahideen gewähren würden. An dieser Einschät- zung ändert auch die Aussage des Beschwerdeführers nichts, wonach er der pakistanischen Polizei nicht vertraue (vgl. SEM-Akte A20 F164 und F221 ff.). Sollte er zukünftig – aus welchen Gründen auch immer – durch diese Gruppierung behelligt werden, so wäre es ihm zumutbar und mög- lich, die pakistanischen Sicherheitsbehörden um Schutz zu ersuchen; denn der pakistanische Staat ist nach konstanter Rechtsprechung des Bundes- verwaltungsgerichts grundsätzlich fähig und willens, Schutz vor Verfolgung Dritter zu bieten und eine funktionierende sowie effiziente Schutzinfrastruk- tur zur Verfügung zu stellen (vgl. dazu beispielsweise das Urteil des BVGer E-5039/2020 vom 15. November 2022 E. 6.3.5, m.w.H.).</w:t>
      </w:r>
    </w:p>
    <w:p>
      <w:r>
        <w:rPr>
          <w:b/>
        </w:rPr>
        <w:t>E. 6.7</w:t>
      </w:r>
    </w:p>
    <w:p>
      <w:r>
        <w:t>Im Übrigen lassen die Akten darauf schliessen, dass der Beschwerde- führer auch über eine innerstaatliche Fluchtalternative verfügt. So geht das Bundesverwaltungsgericht davon aus, dass die Hizb-ul-Mujahideen gröss- tenteils in der Region Kashmir aktiv sind. Gemäss seinen Schilderungen seien seine Mutter und sein jüngerer Bruder nach der Flucht des Be- schwerdeführers von den Hizb-ul-Mujahideen bedroht respektive belästigt worden (vgl. SEM-Akte A20 F50). Diese Belästigungen, von welchen er telefonisch von seinem Vater erfahren habe, vermochte er indes nicht zu</w:t>
      </w:r>
    </w:p>
    <w:p>
      <w:r>
        <w:t>E-2059/2020 Seite 10 substantiieren (vgl. SEM-Akte A20 F156 ff.). Dass seine Familie konkrete Nachteile erlitte hätte, wurde nicht geltend gemacht. Auf Beschwerde- ebene führt er diesbezüglich lediglich aus, sein Name, seine Familie und sein Wohnort seien den Hizb-ul-Mujahideen deshalb bekannt, weil er sich deren Training unterzogen habe. Bei dieser Ausgangslage besteht kein hinreichender Anlass anzunehmen, der Beschwerdeführer und seine An- gehörigen müssten mit einer landesweiten Verfolgung rechnen; vielmehr kann davon ausgegangen werden, dass ihm eine valable Möglichkeit of- fensteht, allfälligen künftigen Nachstellungen seitens der Hizb-ul- Mujahideen durch eine Wohnsitznahme in einem anderen Landesteil zu entgehen. Seine vagen Aussagen, wonach die Hizb-ul-Mujahideen ihn so oder so, beispielsweise auch in Karachi, gefunden hätten, vermögen an dieser Einschätzung nichts zu ändern (vgl. SEM-Akte A20 F160 ff.).</w:t>
      </w:r>
    </w:p>
    <w:p>
      <w:r>
        <w:rPr>
          <w:b/>
        </w:rPr>
        <w:t>E. 6.8</w:t>
      </w:r>
    </w:p>
    <w:p>
      <w:r>
        <w:t>Zusammenfassend ist es dem Beschwerdeführer somit nicht gelungen, eine relevante Verfolgungsgefahr im Sinn von Art. 3 AsylG glaubhaft dar- zutun. Das SEM hat folglich zu Recht seine Flüchtlingseigenschaft verneint und sein Asylgesuch abgelehnt. Die Frage der Glaubhaftigkeit des Aufent- halts bei den Hizb-ul-Mujahideen kann bei dieser Sachlage offenbleiben.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E-2059/2020 Seite 11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ihm unter Hinweis auf die Ausführungen in</w:t>
      </w:r>
    </w:p>
    <w:p>
      <w:r>
        <w:t>E-2059/2020 Seite 12 Erwägung 6 nicht gelungen. Insbesondere hat er sich bislang nicht darum bemüht, den Schutz des pakistanischen Staates in Anspruch zu nehmen. Auch die allgemeine Menschenrechtssituation im Heimatstaat lässt den Wegweisungsvollzug zum heutigen Zeitpunkt nicht als unzulässig erschei- 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In Pakistan herrscht nach konstanter Rechtsprechung, trotz teilweise angespannter Sicherheitslage, keine landesweite Situation allgemeiner Gewalt, die zur Annahme führen müsste, jede dorthin zurückkehrende Per- son sei mit erheblicher Wahrscheinlichkeit konkret gefährdet. Der Wegwei- sungsvollzug ist daher nicht generell unzumutbar (vgl. dazu das Referenz- urteil des BVGer E-3258/2018 vom 2. Juni 2020 E. 12.4.1 sowie etwa das Urteil des BVGer D-2534/2019 vom 7. April 2021 E. 8.4.2).</w:t>
      </w:r>
    </w:p>
    <w:p>
      <w:r>
        <w:rPr>
          <w:b/>
        </w:rPr>
        <w:t>E. 8.4.2</w:t>
      </w:r>
    </w:p>
    <w:p>
      <w:r>
        <w:t>Aus den Akten ergeben sich auch keine Hinweise auf individuelle Gründe, die gegen den Vollzug der Wegweisung sprechen. In der Be- schwerde wird den diesbezüglichen zutreffenden Ausführungen des SEM nichts entgegengehalten, so dass vollumfänglich auf diese verwiesen wer- den kann. Vor diesem Hintergrund ist nicht davon auszugehen, dass der Beschwerdeführer bei einer Rückkehr nach Pakistan aus individuellen Gründen wirtschaftlicher, sozialer oder gesundheitlicher in eine existenzi- elle Notlage geraten wird. Nach dem Gesagten erweist sich der Vollzug der Wegweisung auch als zumutbar.</w:t>
      </w:r>
    </w:p>
    <w:p>
      <w:r>
        <w:rPr>
          <w:b/>
        </w:rPr>
        <w:t>E. 8.5</w:t>
      </w:r>
    </w:p>
    <w:p>
      <w:r>
        <w:t>Schliesslich obliegt es dem Beschwerdeführer, der im Besitz eines noch gültigen pakistanischen Reisepasses ist, sich bei der zuständigen Vertretung des Heimatstaates die für eine Rückkehr allenfalls notwendigen Reisedokumente zu beschaffen (vgl. Art. 8 Abs. 4 AsylG und dazu auch BVGE 2008/34 E. 12), weshalb der Vollzug der Wegweisung auch als mög- lich zu bezeichnen ist (Art. 83 Abs. 2 AIG).</w:t>
      </w:r>
    </w:p>
    <w:p>
      <w:r>
        <w:t>E-2059/2020 Seite 13</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Beschwerdeverfahren abge- schlossen, weshalb sich der Antrag auf Verzicht auf Erhebung eines Kos- tenvorschusses als gegenstandslos erweist.</w:t>
      </w:r>
    </w:p>
    <w:p>
      <w:r>
        <w:rPr>
          <w:b/>
        </w:rPr>
        <w:t>E. 10.2</w:t>
      </w:r>
    </w:p>
    <w:p>
      <w:r>
        <w:t>Wie sich aus den Ausführungen ergibt, sind die Beschwerdebegeh- ren, auch im Zeitpunkt der Gesuchseinreichung, als aussichtslos zu be- zeichnen. Das Gesuch um Gewährung der unentgeltlichen Prozessführung (Art. 65 Abs. 1 VwVG) ist entsprechend ungeachtet der Frage der pro- zessualen Bedürftigkeit abzuweisen. Angesichts des Verfahrensausgangs sind die Kosten dem Beschwerdeführer aufzuerlegen (Art. 63 Abs. 1 VwVG) und auf insgesamt Fr. 750.– festzusetzen (Art. 1–3 des Regle- ments vom 21. Februar 2008 über die Kosten und Entschädigungen vor dem Bundesverwaltungsgericht [VGKE, SR 173.320.2]).</w:t>
      </w:r>
    </w:p>
    <w:p>
      <w:r>
        <w:t>(Dispositiv nächste Seite)</w:t>
      </w:r>
    </w:p>
    <w:p>
      <w:r>
        <w:t>E-2059/2020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