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E-2057/2012 vom 8. Mai 2012</w:t>
      </w:r>
    </w:p>
    <w:p>
      <w:r>
        <w:t>Bundesverwaltungsgericht, 2012-05-08, DE</w:t>
      </w:r>
    </w:p>
    <w:p>
      <w:r>
        <w:rPr>
          <w:b/>
        </w:rPr>
        <w:t xml:space="preserve">Quelle: </w:t>
      </w:r>
      <w:r>
        <w:t>https://mcp.opencaselaw.ch/entscheid/bvger_E-2057_2012</w:t>
      </w:r>
    </w:p>
    <w:p>
      <w:r>
        <w:t>FR: TAF E-2057/2012 du 8 mai 2012</w:t>
      </w:r>
    </w:p>
    <w:p>
      <w:r>
        <w:t>IT: TAF E-2057/2012 del 8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mit Ausnahme des Antrags auf Erteilung einer Aufenthaltsbewilligung, für die ausschliesslich der Kanton zuständig ist, (vgl. EMARK 2001 Nr. 21 E. 8d.),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6</w:t>
      </w:r>
    </w:p>
    <w:p>
      <w:r>
        <w:t>Mit Bezug auf das vorliegende Verfahren ist vorweg festzuhalten, dass die Beschwerdeführerin im Rahmen des Wiedererwägungsgesuchs lediglich eine wesentlich veränderte Sachlage seit Rechtskraft der Verfügung des BFM vom 6. Juli 2011 (mithin seit dem 5. Dezember 2011) geltend machen kann. In ihrem Gesuch vom 13. März 2012 macht sie lediglich ein einziges Vorbringen geltend, welches sie nicht bereits im vorhergehenden Verfahren vorgebracht hat, nämlich (...) schwanger zu sein, wobei die Geburt gemäss den Akten (B 3/1) aber erst am (...) zu erwarten ist. Auf Beschwerdeebene bringt sie zusätzlich vor, sie sei vom selben Mann geschwängert worden, der bereits der Vater [Kind] sei und in der Schweiz als anerkannter Flüchtling lebe. Die geltend gemachte Schwangerschaft vermag als solche weder an der staatsvertraglichen Zuständigkeit Italiens für die Durchführung des Asyl- und Wegweisungsverfahrens noch an der Zumutbarkeit des Vollzugs der Wegweisung nach Italien etwas zu ändern (vgl. dazu etwa das Urteil des Bundesverwaltungsgerichts E-1098/2012 vom 5. März 2012). Sie stellt somit zwar - wenn man auf die Akten abstellt - eine nachträgliche Veränderung des Sachverhalts, aber keine wesentlich veränderte Sachlage im wiedererwägungsrechtlichen Sinne dar. Ebenso wenig kann die Beschwerdeführerin aus dem Umstand, dass der in der Schweiz als anerkannter Flüchtling lebende Vater [Kind] ebenfalls der Vater ihres künftigen Kindes sein soll, etwas zu ihren Gunsten ableiten. Ansprüche, die auf Grund eines gemeinsamen Kindes mit einem in der Schweiz wohnhaften, anerkannten Flüchtling aus dem Grundsatz der Einheit der Familie abzuleiten sind, wurden bereits im Urteil vom 5. Dezember 2011 materiell behandelt und rechtskräftig verneint. Ein allfälliges weiteres gemeinsames Kind vermag an dieser Rechtslage nichts zu ändern und stellt somit keine wesentlich veränderte Sachlage dar, an die die rechtskräftige Verfügung vom 6. Juli 2011 angepasst werden müsste. Im Urteil vom 5. Dezember 2011 wurde ein Anspruch auf Familieneinheit insbesondere deshalb verneint, weil zwischen der Beschwerdeführerin und dem Kindsvater keine gelebte Konkubinatsbeziehung habe glaubhaft gemacht werden können; diesbezüglich macht die Beschwerdeführerin keine Veränderung der Sachlage seit Rechtskraft jenes Urteils geltend. Die Beschwerdebegründung erweckt vielmehr den Eindruck, die Beschwerdeführerin beabsichtige, den Kindsvater für seine Vaterschaft rechtlich zur Verantwortung zu ziehen. Dies steht ihr aber auch offen, wenn sie sich in Italien aufhält. Darüber hinaus gilt es festzuhalten, dass es sich bei der geltend gemachten Vaterschaft lediglich um eine nicht belegte Parteibehauptung handelt, die überdies erst auf Beschwerdeebene vorgebracht worden ist, was gewisse Zweifel an ihrer Richtigkeit aufkommen lässt.</w:t>
      </w:r>
    </w:p>
    <w:p>
      <w:r>
        <w:rPr>
          <w:b/>
        </w:rPr>
        <w:t>E. 7</w:t>
      </w:r>
    </w:p>
    <w:p>
      <w:r>
        <w:t>Aus diesen Erwägungen ergibt sich, dass die angefochtene Verfügung Bundesrecht nicht verletzt, den rechtserheblichen Sachverhalt richtig und vollständig feststellt und angemessen ist (Art. 106 AsylG). Die Beschwerde ist abzuweisen, soweit darauf einzutreten ist. Mit dem vorliegenden Urteil fällt auch der einstweilige Vollzugsstopp dahin.</w:t>
      </w:r>
    </w:p>
    <w:p>
      <w:r>
        <w:rPr>
          <w:b/>
        </w:rPr>
        <w:t>E. 8</w:t>
      </w:r>
    </w:p>
    <w:p>
      <w:r>
        <w:t>Die Begehren erweisen sich nach dem Gesagten als aussichtslos, so dass das Gesuch um Gewährung der unentgeltlichen Rechtspflege unabhängig von einer allenfalls bestehenden Hilfsbedürftigkeit gemäss Art. 65 Abs. 1 VwVG abzuweisen ist.</w:t>
      </w:r>
    </w:p>
    <w:p>
      <w:r>
        <w:rPr>
          <w:b/>
        </w:rPr>
        <w:t>E. 9</w:t>
      </w:r>
    </w:p>
    <w:p>
      <w:r>
        <w:t>Bei diesem Ausgang des Verfahrens sind die Kosten der Beschwerdeführerin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