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E-2055/2018 vom 28. November 2019</w:t>
      </w:r>
    </w:p>
    <w:p>
      <w:r>
        <w:t>Bundesverwaltungsgericht, 2019-11-28, FR</w:t>
      </w:r>
    </w:p>
    <w:p>
      <w:r>
        <w:rPr>
          <w:b/>
        </w:rPr>
        <w:t xml:space="preserve">Quelle: </w:t>
      </w:r>
      <w:r>
        <w:t>https://mcp.opencaselaw.ch/entscheid/bvger_E-2055_2018</w:t>
      </w:r>
    </w:p>
    <w:p>
      <w:r>
        <w:t>FR: TAF E-2055/2018 du 28 novembre 2019</w:t>
      </w:r>
    </w:p>
    <w:p>
      <w:r>
        <w:t>IT: TAF E-2055/2018 del 28 novembre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le délai prescrits par la loi, le recours est recevable (art. 48 al. 1 et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de ses motifs.</w:t>
      </w:r>
    </w:p>
    <w:p>
      <w:r>
        <w:rPr>
          <w:b/>
        </w:rPr>
        <w:t>E. 3.2</w:t>
      </w:r>
    </w:p>
    <w:p>
      <w:r>
        <w:t>Ainsi que le SEM l'a relevé à bon droit dans la décision attaquée, les églises chrétiennes non enregistrées (dites "églises de maison") sont officiellement interdites en Chine ; le seul fait d'y appartenir ne suffit cependant pas à entraîner un risque de persécution hautement probable, tant que la communauté ne se signale pas à l'attention des autorités et où leurs membres ne manifestent pas d'engagement politique. Le degré du risque peut cependant varier selon la région et les circonstances particulières du cas (cf. à ce sujet les références retenues par le SEM dans sa décision, ainsi que Commission de l'immigration et du statut de réfugié du Canada, Chine : information sur le traitement réservé aux membres "ordinaires" des maisons-églises chrétiennes par le Bureau de la sécurité publique, y compris le traitement réservé à leurs enfants, 10 octobre 2014, consulté le 13 novembre 2019 sous https://irb-cisr.gc.ca/fr/renseignements-pays/rdi/Pages/index.aspx?doc= 455571 &amp; pls=1). Si les membres du groupe chrétien "I._______" ont effectivement vu plusieurs de leurs membres interpellés par la police, ainsi que cela ressort des sources citées par le SEM, tel n'est cependant pas le cas des adhérents à "E._______" (cf. à ce sujet arrêt du TAF E-2151/2016 du 9 juin 2016 consid. 5.1). Or, l'intéressé a expressément reconnu ne pas appartenir au groupe chrétien "I._______" ; les références faites à ce sujet sont ainsi sans pertinence. Le Tribunal ne peut dès lors accorder une portée particulière au cas de l'adepte de "I._______", J._______, évoqué dans la réplique, et aux difficultés que celle-ci a rencontrées à son retour en Chine, ce d'autant moins qu'il ressort de la copie du jugement produit que ce sont les activités entretenues après son retour, en mai et juin 2017, qui ont entraîné son arrestation.</w:t>
      </w:r>
    </w:p>
    <w:p>
      <w:r>
        <w:rPr>
          <w:b/>
        </w:rPr>
        <w:t>E. 3.3</w:t>
      </w:r>
    </w:p>
    <w:p>
      <w:r>
        <w:t>L'appartenance du recourant à la foi chrétienne n'ayant pas été contestée par le SEM, ce sont les circonstances concrètes du cas et personnelles au recourant qui sont donc décisives pour trancher la vraisemblance des motifs d'asile invoqués. Or, dans le cas d'espèce, plusieurs éléments du récit de l'intéressé ne sont pas crédibles et l'existence d'une persécution antérieure, comme celle d'un tel risque en cas de retour, ne peut être retenue. Le Tribunal n'accorde certes pas une portée décisive aux imprécisions factuelles et chronologiques relevées dans la décision attaquée, de peu d'importance et qui peuvent s'expliquer par le long laps de temps (un an et demi) qui sépare les deux auditions de l'intéressé. En revanche, sur plusieurs points, le récit du recourant n'est pas de nature à faire admettre qu'il était - et se trouve toujours - recherché par la police. Ainsi, il n'est pas crédible que le père de l'intéressé ait pu éviter l'émission d'un mandat d'arrêt contre son fils en soudoyant de simples agents de police de C._______, dans des conditions d'ailleurs peu claires ; en effet, le cas du recourant étant prétendument en relation avec une affaire ayant entraîné l'arrestation de plusieurs personnes et impliqué sans doute l'ouverture d'une instruction pénale, il n'est pas vraisemblable que son cas ait pu être aussi facilement réglé. L'intéressé s'est d'ailleurs contredit à ce sujet : après avoir affirmé que son père avait payé les agents (cf. procès-verbal [p.-v.] de l'audition du 28 décembre 2017, question 27), il a prétendu que, dans ce genre d'affaires, aucun mandat n'était émis (cf. p.-v. de la même audition, question 125). Au regard de ces éléments, il n'est pas crédible que l'intéressé ait fait l'objet d'une telle enquête. Le Tribunal constate du reste qu'il n'aurait pu se cacher chez sa tante durant trois mois - soit de (...) 2015 à (...) 2016 - sans que la police ne fouille la maison, se contentant d'une unique visite ; de même, en tant que membres également de "E._______", ses parents auraient été interpellés ou inquiétés, les policiers ne se bornant pas à leur communiquer que leur fils devait se présenter au poste.</w:t>
      </w:r>
    </w:p>
    <w:p>
      <w:r>
        <w:rPr>
          <w:b/>
        </w:rPr>
        <w:t>E. 3.4</w:t>
      </w:r>
    </w:p>
    <w:p>
      <w:r>
        <w:t>Il est en outre établi que le recourant a quitté la Chine régulièrement, muni d'un passeport valable. Si les conditions d'obtention de ce dernier ne sont pas claires en l'occurrence, il n'en demeure pas moins qu'un tel document de voyage n'est pas délivré sans vérification soigneuse de la situation de l'intéressé et de ses antécédents, y compris auprès de la police de sa localité de domicile (cf. à ce sujet les références citées dans la décision du SEM). S'il avait été impliqué dans une enquête pénale, le recourant n'aurait pu obtenir de passeport, qui plus est en quelques semaines à peine, pour quitter son pays par la voie probablement la plus contrôlée. Par ailleurs, il apparaît que l'intéressé a séjourné à Pékin durant plusieurs semaines afin d'obtenir son visa suisse, sans redouter d'être poursuivi et interpellé. L'allégation selon laquelle il aurait égaré son passeport peu après son arrivée en Suisse n'est guère crédible et ne peut qu'amener à penser qu'il veut dissimuler les données incompatibles avec son récit. Enfin, les rapports et comptes rendus sur la situation des chrétiens en Chine, joints au recours, ne concernent pas le recourant personnellement et ne sont partant pas pertinents. En conclusion, les motifs d'asile dépeints ne sont pas vraisemblables, l'intéressé n'ayant très probablement pas quitté son pays sous la menace d'un danger pressant de persécution. En témoigne également le fait qu'il a passé trois mois en Suisse, avant d'y déposer sa demande, ne s'y étant décidé qu'au moment où il se trouvait privé de moyens d'existence.</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n'est pas remplie,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tel que défini à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constate que l'intéressé n'a pu établir la haute probabilité d'un risque de cette nature, l'existence de recherches dirigées contre lui n'étant pas crédible. Dès lors, l'exécution de son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la Chine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il ne ressort du dossier aucun élément dont on pourrait inférer que l'exécution du renvoi impliquerait une mise en danger concrète du recourant. A cet égard, le Tribunal constate que celui-ci est jeune, sans charge de famille, au bénéfice d'une scolarité complète, qu'il n'a pas allégué de problème de santé particulier et que toute sa famille réside en Chine.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L'assistance judiciaire totale ayant été accordée, il n'y a pas lieu de percevoir de frais (art. 65 al. 1 et 2 PA).</w:t>
      </w:r>
    </w:p>
    <w:p>
      <w:r>
        <w:rPr>
          <w:b/>
        </w:rPr>
        <w:t>E. 10.2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w:t>
      </w:r>
    </w:p>
    <w:p>
      <w:r>
        <w:rPr>
          <w:b/>
        </w:rPr>
        <w:t>E. 10.3</w:t>
      </w:r>
    </w:p>
    <w:p>
      <w:r>
        <w:t>Dans le cas d'espèce, le Tribunal admet que les actes de procédure rédigés par le mandataire (recours et réplique) ont nécessité cinq heures de travail ; l'indemnité du mandataire d'office est ainsi arrêtée à 750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