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E-2053/2016 vom 24. Mai 2016</w:t>
      </w:r>
    </w:p>
    <w:p>
      <w:r>
        <w:t>Bundesverwaltungsgericht, 2016-05-24, DE</w:t>
      </w:r>
    </w:p>
    <w:p>
      <w:r>
        <w:rPr>
          <w:b/>
        </w:rPr>
        <w:t xml:space="preserve">Quelle: </w:t>
      </w:r>
      <w:r>
        <w:t>https://mcp.opencaselaw.ch/entscheid/bvger_E-2053_2016</w:t>
      </w:r>
    </w:p>
    <w:p>
      <w:r>
        <w:t>FR: TAF E-2053/2016 du 24 mai 2016</w:t>
      </w:r>
    </w:p>
    <w:p>
      <w:r>
        <w:t>IT: TAF E-2053/2016 del 24 maggio 2016</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 [SR 142.31]). Gegen das unrechtmässige Verweigern oder Verzögern einer anfechtbaren Verfügung kann Beschwerde geführt werden (Art. 46a VwVG). Beschwerde kann wie gegen die Verfügung selbst geführt werden. Das Bundesverwaltungsgericht ist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Da der Beschwerdeführer um Asyl in Form einer anfechtbaren Verfügung ersucht, ist er zur Beschwerdeführung legitimiert.</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mit der Einreichung einer Beschwerde zugewartet werden. Vielmehr muss die Beschwerde innert angemessener Frist erhoben werden. Was angemessen ist, bemisst sich nach den konkreten Umständen, namentlich nach der dem Beschwerdeführer zumutbaren Sorgfaltspflicht (vgl. Markus Müller, in: Auer/Müller/Schindler (Hrsg.), Kommentar zum Bundesgesetz über das Verwaltungsverfahren (VwVG), 2008, Rz. 10 zu Art. 46a VwVG). Die beiden letzten Eingaben des Beschwerdeführers vom Januar 2016 blieben - nach einer Verfahrensdauer in jenem Zeitpunkt von 24 Monaten respektive 16 Monaten seit der Rückweisung - unbeantwortet, was als Anlass für eine Rechtsverzögerungsbeschwerde gewertet werden kann. Die Erhebung der Beschwerde nach einem zweimonatigen Zuwarten ist als innert einer angemessenen Frist zu betrachten. Auf die frist- und formgerecht eingereichte Beschwerde ist einzutreten.</w:t>
      </w:r>
    </w:p>
    <w:p>
      <w:r>
        <w:rPr>
          <w:b/>
        </w:rPr>
        <w:t>E. 2.1</w:t>
      </w:r>
    </w:p>
    <w:p>
      <w:r>
        <w:t>Das Verbot der Rechtsverweigerung und Rechtsverzögerung ergibt sich als Teilgehalt aus der allgemeinen Verfahrensgarantie von Art. 29 BV. Danach hat jede Person vor Gerichts- und Verfahrensinstanzen Anspruch auf gleiche und gerechte Behandlung sowie auf Beurteilung innert angemessener Frist (sog. Beschleunigungsgebot).</w:t>
      </w:r>
    </w:p>
    <w:p>
      <w:r>
        <w:rPr>
          <w:b/>
        </w:rPr>
        <w:t>E. 2.2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sondern lediglich nicht binnen gesetzlicher oder - falls eine solche fehlt - angemessener Frist erfolgt und für das "Verschleppen" keine objektiven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f.; Müller, a.a.O., Rz. 6 zu Art. 46a). Ein Verschulden der Behörde an der Verzögerung wird nicht vorausgesetzt, weshalb eine Behörde das Rechtsverzögerungsverbot auch verletzt, wenn sie wegen Personalmangels oder Überlastung nicht innert angemessener Frist verfügt (Uhlmann/Wälle-Bär, in: Praxiskommentar VwVG, Waldmann/Weissenberger (Hrsg.), 2016, Art. 46a N 21).</w:t>
      </w:r>
    </w:p>
    <w:p>
      <w:r>
        <w:rPr>
          <w:b/>
        </w:rPr>
        <w:t>E. 3</w:t>
      </w:r>
    </w:p>
    <w:p>
      <w:r>
        <w:t>Der Beschwerdeführer führt in seiner Beschwerde im Wesentlichen aus, sein Asylverfahren weise bereits eine Dauer von insgesamt über 26 Monaten auf. Seit der Rückweisung der Sache an die Vorinstanz seien bereits 18 Monate vergangen, ohne dass ihn die Vorinstanz zu einer Befragung vorgeladen habe. Für das Zögern der Vorinstanz seien keine Rechtfertigungsgründe ersichtlich. Ebenso wenig habe er die Verzögerung durch sein Verhalten erschwert oder verlängert.</w:t>
      </w:r>
    </w:p>
    <w:p>
      <w:r>
        <w:rPr>
          <w:b/>
        </w:rPr>
        <w:t>E. 4</w:t>
      </w:r>
    </w:p>
    <w:p>
      <w:r>
        <w:t>Dem Bundesverwaltungsgericht ist die zusätzlich erhöhte Geschäftslast der Vorinstanz in den vergangenen Monaten durchaus bekannt, und es ist unvermeidbar und insoweit nachvollziehbar, dass Verfahren länger dauern können. Vorliegend indes nicht. Das Asylgesuch des Beschwerdeführers datiert vom 25. Januar 2014 und die Rückweisung der Sache durch das Bundesverwaltungsgericht an die Vorinstanz vom 1. Oktober 2014. Im Zeitpunkt der Beschwerdeerhebung sind somit 18 Monate vergangen, in denen die Vorinstanz untätig blieb. Ausserdem erfolgte auf keine der Anfragen des Beschwerdeführers nach dem Verfahrensstand eine Antwort. Auch in ihrer Vernehmlassung beruft sich die Vorinstanz einzig auf die hohe Arbeitslast. In Anbetracht dessen, dass im vorliegenden Verfahren noch nicht einmal abschliessend über die Zuständigkeit für die Durchführung des Asyl- und Wegweisungsverfahren entschieden wurde, ist das Verhalten der Vorinstanz nicht hinnehmbar. Die Rüge der Rechtsverzögerung erweist sich als begründet.</w:t>
      </w:r>
    </w:p>
    <w:p>
      <w:r>
        <w:rPr>
          <w:b/>
        </w:rPr>
        <w:t>E. 5</w:t>
      </w:r>
    </w:p>
    <w:p>
      <w:r>
        <w:t>Die Beschwerde ist gutzuheissen. Die Vorinstanz ist anzuweisen, das Asylgesuch des Beschwerdeführers vom 25. Januar 2014 beförderlich zu behandeln und rasch einer anfechtbaren Verfügung zuzuführen. Dem Bundesverwaltungsgericht ist es verwehrt, konkrete Amtshandlungen auf Rechtsverzögerungsbeschwerde hin anzuordnen, weil dies Sache der Vor­instanz bleibt. Dem Begehren des Beschwerdeführers auf Anweisung der Vorinstanz, ihn unverzüglich zur Anhörung vorzuladen, kann daher nur insoweit entsprochen werden, als die verbindliche Weisung zur beförderlichen Behandlung des Asylgesuchs ergeht.</w:t>
      </w:r>
    </w:p>
    <w:p>
      <w:r>
        <w:rPr>
          <w:b/>
        </w:rPr>
        <w:t>E. 6.1</w:t>
      </w:r>
    </w:p>
    <w:p>
      <w:r>
        <w:t>Bei diesem Ausgang des Verfahrens sind dem Beschwerdeführer keine Kosten aufzuerlegen (Art. 63 Abs. 1 und 2 VwVG).</w:t>
      </w:r>
    </w:p>
    <w:p>
      <w:r>
        <w:rPr>
          <w:b/>
        </w:rPr>
        <w:t>E. 6.2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Der Antrag auf Einholung einer Kostennote ist abzuweisen, weil sich die Entschädigung in einem solchen Fall auf Grund der Akten bestimmt (Art. 14 Abs. 2 VGKE) und in Anwendung der gesetzlichen Bemessungsfaktoren (Art. 7-15 VGKE) auf insgesamt Fr. 400.- (inkl. MWSt und Auslagen) festzusetzen. Die Vorinstanz ist anzuweisen, dem Beschwerdeführer diesen Beitrag als Entschädigung auszurichten. Die prozessualen Anträge sind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