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E-2050/2016 vom 8. April 2016</w:t>
      </w:r>
    </w:p>
    <w:p>
      <w:r>
        <w:t>Bundesverwaltungsgericht, 2016-04-08, DE</w:t>
      </w:r>
    </w:p>
    <w:p>
      <w:r>
        <w:rPr>
          <w:b/>
        </w:rPr>
        <w:t xml:space="preserve">Quelle: </w:t>
      </w:r>
      <w:r>
        <w:t>https://mcp.opencaselaw.ch/entscheid/bvger_E-2050_2016</w:t>
      </w:r>
    </w:p>
    <w:p>
      <w:r>
        <w:t>FR: TAF E-2050/2016 du 8 avril 2016</w:t>
      </w:r>
    </w:p>
    <w:p>
      <w:r>
        <w:t>IT: TAF E-2050/2016 del 8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Gemäss Art. 12 Abs. 2 Dublin-III-VO ist, sofern ein Antragsteller ein gültiges Visum besitzt, der Mitgliedstaat, der das Visum erteilt hat, für die Prüfung des Antrags auf internationalen Schutz zuständig.</w:t>
      </w:r>
    </w:p>
    <w:p>
      <w:r>
        <w:rPr>
          <w:b/>
        </w:rPr>
        <w:t>E. 3.3</w:t>
      </w:r>
    </w:p>
    <w:p>
      <w:r>
        <w:t>In der angefochtenen Verfügung stellt die Vorinstanz zu Recht fest, aufgrund der Umstände, dass der Beschwerdeführerin von Polen ein Visum ausgestellt worden sei und die polnischen Behörden dem Übernahmegesuch zugestimmt hätten, liege die Zuständigkeit zur Durchführung des Asyl- und Wegweisungsverfahrens bei Polen. Die staatsvertragliche Zuständigkeit Polens steht aufgrund der Akten ohne weiteres fest. Die Einwände der Beschwerdeführerin (sie habe in Polen kein Asylgesuch gestellt, sondern habe in die Schweiz kommen wollen, wo sie sich sehr wohl fühle, weil es hier bereits viele Tibeter gebe) sind unbehelflich.</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4.2</w:t>
      </w:r>
    </w:p>
    <w:p>
      <w:r>
        <w:t>Die Beschwerdeführerin bringt vor, den Quellen nach nehme Polen keine Asylbewerber auf. Sie habe sehr grosse Angst nach Tibet zurückgeschickt zu werden. Polen ist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Ferner gelten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Es gilt die Vermutung, dass Polen seinen völker- und EU-rechtlichen Verpflichtungen nachkommt, sich insbesondere auch an das Gebot des Non-Refoulement hält. Die Gefahr einer Rückschiebung der Beschwerdeführerin von Polen in Verletzung des Non-Refoulement-Gebots hat diese nicht substanziiert dargetan und ihre Begründetheit ist auch nicht ersichtlich. Beim Entscheid der Vorinstanz, ihr Selbsteintrittsrecht nicht auszuüben, hat sie keinen Ermessensfehler begangen.</w:t>
      </w:r>
    </w:p>
    <w:p>
      <w:r>
        <w:rPr>
          <w:b/>
        </w:rPr>
        <w:t>E. 5</w:t>
      </w:r>
    </w:p>
    <w:p>
      <w:r>
        <w:t>Die Vorinstanz ist somit zutreffend von der Zuständigkeit Polens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Abs. 1 AsylG).</w:t>
      </w:r>
    </w:p>
    <w:p>
      <w:r>
        <w:rPr>
          <w:b/>
        </w:rPr>
        <w:t>E. 7</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