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E-2045/2012 vom 18. Dezember 2013</w:t>
      </w:r>
    </w:p>
    <w:p>
      <w:r>
        <w:t>Bundesverwaltungsgericht, 2013-12-18, FR</w:t>
      </w:r>
    </w:p>
    <w:p>
      <w:r>
        <w:rPr>
          <w:b/>
        </w:rPr>
        <w:t xml:space="preserve">Quelle: </w:t>
      </w:r>
      <w:r>
        <w:t>https://mcp.opencaselaw.ch/entscheid/bvger_E-2045_2012</w:t>
      </w:r>
    </w:p>
    <w:p>
      <w:r>
        <w:t>FR: TAF E-2045/2012 du 18 décembre 2013</w:t>
      </w:r>
    </w:p>
    <w:p>
      <w:r>
        <w:t>IT: TAF E-2045/2012 del 18 dicembre 2013</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w:t>
      </w:r>
    </w:p>
    <w:p>
      <w:r>
        <w:rPr>
          <w:b/>
        </w:rPr>
        <w:t>E. 1.3</w:t>
      </w:r>
    </w:p>
    <w:p>
      <w:r>
        <w:t>L'intéressé a qualité pour recourir (art. 48 al. 1 PA). Présenté dans la forme (art. 52 al. 1 PA) et le délai (art. 108 al. 1 LAsi) prescrits par la loi, le recours est recevable.</w:t>
      </w:r>
    </w:p>
    <w:p>
      <w:r>
        <w:rPr>
          <w:b/>
        </w:rPr>
        <w:t>E. 2.1</w:t>
      </w:r>
    </w:p>
    <w:p>
      <w:r>
        <w:t>A teneur de l'art. 106 al. 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w:t>
      </w:r>
    </w:p>
    <w:p>
      <w:r>
        <w:rPr>
          <w:b/>
        </w:rPr>
        <w:t>E. 2.2</w:t>
      </w:r>
    </w:p>
    <w:p>
      <w:r>
        <w:t>L'autorité de recours examine le droit fédéral d'office et n'est pas liée par les motifs invoqués par les parties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procéder à la fixation de délais de départ des requérants d'asile déboutés sri-lankais, d'ethnie tamoule, et de supprimer les délais de départ déjà ordonnés. De facto, il procède à la reconsidération de toutes les affaires en cours (y compris celles qui se sont achevées par une décision exécutoire), sans qu'il soit tenu compte des circonstances particulières de chaque cas d'espèce. Cette pratique a été instaurée en réaction à la dénonciation de deux cas, rendus publics, dans lesquels des requérants d'asile tamouls, auraient été mis en détention par les autorités de leur pays, après y avoir été rapatriés. L'autorité de première instance a annoncé vouloir non seulement clarifier les circonstances des deux cas d'arrestations précités, mais également vouloir procéder à un examen minutieux de la situation générale au Sri Lanka, dans le but de prévenir la survenance d'autres cas d'abus potentiels. Elle considère donc elle-même que l'état de fait, tel que retenu dans sa décision du 14 mars 2012,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l'octroi de l'asile (s'agissant des groupes à risque ATAF 2011/24 consid. 8).</w:t>
      </w:r>
    </w:p>
    <w:p>
      <w:r>
        <w:rPr>
          <w:b/>
        </w:rPr>
        <w:t>E. 3.2</w:t>
      </w:r>
    </w:p>
    <w:p>
      <w:r>
        <w:t>Le Tribunal est compétent pour revoir les faits avec plein pouvoir de cognition (art. 106 al. 1 let. b LAsi). Il se base généralement sur la situation régnant au moment où il statue (ATAF 2012/21 consid. 5). Il n'a pas à clarifier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Si le Tribunal ne se limitait pas à compléter l'état de fait pertinent, mais établissait celui-ci au même titre que l'autorité inférieure, la partie serait privée de l'instance de recours. Le Tribunal doit donc, pour ces motifs, se limiter à valider ou compléter l'état de fait pertinent, tel qu'il a été retenu par l'ODM (ATAF 2012/21 consid. 5 ; arrêt du Tribunal administratif fédéral E-4157/2012 du 4 octobre 2012, consid. 4).</w:t>
      </w:r>
    </w:p>
    <w:p>
      <w:r>
        <w:rPr>
          <w:b/>
        </w:rPr>
        <w:t>E. 3.3</w:t>
      </w:r>
    </w:p>
    <w:p>
      <w:r>
        <w:t>Il découle de ce qui précède que la décision attaquée doit être cassée pour constatation incomplète de l'état de fait pertinent et la cause renvoyée à l'ODM pour complément d'instruction et nouvelle décision. Le recours doit dès lors être admis, sans qu'il soit nécessaire d'examiner les autres griefs qui y sont avancés.</w:t>
      </w:r>
    </w:p>
    <w:p>
      <w:r>
        <w:rPr>
          <w:b/>
        </w:rPr>
        <w:t>E. 4.1</w:t>
      </w:r>
    </w:p>
    <w:p>
      <w:r>
        <w:t>S'avérant manifestement fondé, le recours est admis dans une procédure à juge unique, avec l'approbation d'un second juge (art. 111 let. e LAsi).</w:t>
      </w:r>
    </w:p>
    <w:p>
      <w:r>
        <w:rPr>
          <w:b/>
        </w:rPr>
        <w:t>E. 4.2</w:t>
      </w:r>
    </w:p>
    <w:p>
      <w:r>
        <w:t>Vu l'issue de la cause, il n'est pas perçu de frais de procédure (art. 63 al. 1 PA). L'avance de frais de 600 francs, versée le 21 mai 2012, est restituée au recourant.</w:t>
      </w:r>
    </w:p>
    <w:p>
      <w:r>
        <w:rPr>
          <w:b/>
        </w:rPr>
        <w:t>E. 4.3</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w:t>
      </w:r>
    </w:p>
    <w:p>
      <w:r>
        <w:rPr>
          <w:b/>
        </w:rPr>
        <w:t>E. 4.3.1</w:t>
      </w:r>
    </w:p>
    <w:p>
      <w:r>
        <w:t>Le recourant doit en l'espèce être considéré comme ayant obtenu gain de cause, dans la mesure où il est fait droit à sa conclusion principale tendant à l'annulation de la décision attaquée. Il convient dès lors de trancher la question des dépens, sans accorder un délai pour produire un nouveau décompte pour les actes entrepris après le 9 juillet 2012 (à ce sujet la conclusion n° 6 du mémoire de recours et la let. F des faits).</w:t>
      </w:r>
    </w:p>
    <w:p>
      <w:r>
        <w:rPr>
          <w:b/>
        </w:rPr>
        <w:t>E. 4.3.2</w:t>
      </w:r>
    </w:p>
    <w:p>
      <w:r>
        <w:t>D'après les art. 8 al. 1 et 9 al. 1 let. a FITAF, les dépens comprennent notamment les honoraires d'avocat. D'après l'art. 64 al. 1 PA, la partie qui obtient gain de cause a droit à des dépens pour les frais indispensables et relativement élevés causés par le litige (à ce sujet aussi art. 7 al. 2 FITAF, où est utilisé le terme de "frais nécessaires", qui a toutefois la même portée). L'art. 8 al. 2 FITAF précise encore que les frais non nécessaires ne sont pas indemnisés et l'art. 10 al. 1 FITAF que les honoraires d'avocat sont calculés en fonction du temps nécessaire à la défense de la partie représentée. La notion de "frais indispensables et relativement élevés", en tant que notion juridique indéterminée, vient garantir au Tribunal un important pouvoir d'appréciation. A cet égard, il apprécie librement, au vu des circonstances du cas d'espèce et de la situation procédurale (p. ex. lorsque les écritures de la partie qui a eu droit à des dépens ont été inutilement longues et répétitives), dans quelle proportion une indemnité de dépens est due (Jerome Candrian, Introduction à la procédure administrative fédérale - La procédure devant les autorités administratives fédérales et le Tribunal administratif fédéral, Bâle 2013, n. marg. 218, p. 127).</w:t>
      </w:r>
    </w:p>
    <w:p>
      <w:r>
        <w:rPr>
          <w:b/>
        </w:rPr>
        <w:t>E. 4.3.3</w:t>
      </w:r>
    </w:p>
    <w:p>
      <w:r>
        <w:t>En l'occurrence, le recourant a produit un relevé de son mandataire, daté du 9 juillet 2012 (pièce 65), faisant état d'un temps consacré à la cause de 26 heures 56, de frais de port et de photocopies d'un montant de 86.30 francs, le mandataire ayant précisé facturer ses prestations au tarif horaire de 240 francs. Le mandataire du recourant a été particulièrement prolixe dans son argumentation. Il a notamment fait abondamment appel à des textes préformulés généraux, inutilement longs, et à des moyens de preuve de nature générale qu'il a déjà utilisés dans de très nombreuses autres affaires portées devant le Tribunal concernant des ressortissants sri-lankais. Partant, le Tribunal considère qu'une somme de 2'000 francs (TVA comprise) à titre de dépens suffit pour couvrir les frais indispensables (ou nécessaires) dans la présente cause, tels que définis au considérant 4.3.2 ci-avant.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