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E-2043/2011 vom 19. November 2012</w:t>
      </w:r>
    </w:p>
    <w:p>
      <w:r>
        <w:t>Bundesverwaltungsgericht, 2012-11-19, DE</w:t>
      </w:r>
    </w:p>
    <w:p>
      <w:r>
        <w:rPr>
          <w:b/>
        </w:rPr>
        <w:t xml:space="preserve">Quelle: </w:t>
      </w:r>
      <w:r>
        <w:t>https://mcp.opencaselaw.ch/entscheid/bvger_E-2043_2011</w:t>
      </w:r>
    </w:p>
    <w:p>
      <w:r>
        <w:t>FR: TAF E-2043/2011 du 19 novembre 2012</w:t>
      </w:r>
    </w:p>
    <w:p>
      <w:r>
        <w:t>IT: TAF E-2043/2011 del 19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hält den vorinstanzlichen Erwägungen zur Unglaubhaftigkeit seiner Vorbringen zum Einen lediglich eine wiederholte Schilderung der Vorkommnisse anlässlich der Wahlen von (Zahl) entgegen (Tätigkeit als Wahlbeobachter der Partei C._______, Verfolgung einer Wahlverfälschung durch die D._______, Bedrohung mit der Waffe durch die "Wahlverfälscher"). Weil es bekannt sei, dass die Polizei mit der D._______ zusammenarbeite, habe er diesen Vorfall aus Angst nur bei seiner Partei und nicht bei der Polizei angezeigt. Zum Anderen begründet er seine Angst vor Übergriffen durch den Staat wegen seiner früheren Tätigkeit als UÇK-Kämpfer erneut nur damit, dass das Amnestiegesetz nicht respektiert werde. Als Beispiel für nachwievor stattfindende Verhaftungen bzw. willkürlichen Tötungen von ehemaligen Kämpfern gab er an, im Jahre 2010 seien fünf ehemalige UÇK-Kämpfer von der Polizei auf einer verlassenen Strasse angehalten und danach von diesen erschossen worden. Die Polizisten hätten Waffen in den Autos deponiert, um damit ihre Tat als Notwehrhandlungen zu rechtfertigen, obwohl es eigentliche Rachehandlungen gewesen seien. Der mazedonische Staat sei weder in der Lage noch gewillt, ihm vor derartigen Übergriffen Schutz zu gewähren. So habe auch das BFM eingeräumt, dass das Amnestiegesetz lediglich "grundsätzlich" eingehalten und respektiert werde, folglich nicht von einer absoluten Gültigkeit gesprochen werden könne.</w:t>
      </w:r>
    </w:p>
    <w:p>
      <w:r>
        <w:rPr>
          <w:b/>
        </w:rPr>
        <w:t>E. 5.2</w:t>
      </w:r>
    </w:p>
    <w:p>
      <w:r>
        <w:t>Vorab stellt das Bundesverwaltungsgericht fest, dass der Beschwerdeführer den von der Vorinstanz festgestellten Widersprüchen nichts Substantielles entgegenzusetzen vermag. Auch äussert er sich nicht zur vorinstanzlichen Feststellung, "es sei davon auszugehen, dass er die Wahlen nicht in einer massgeblichen Funktion beobachtet habe, und insofern sei nicht nachvollziehbar, weshalb ihn seine angeblichen Gegner über Jahre danach noch hätten behelligen sollen". Auch der von der Vorinstanz in Zweifel gezogenen Befürchtung des Beschwerdeführers, ihm drohe aufgrund seiner Vergangenheit als UÇK-Kämpfer staatliche Verfolgung, hält er lediglich die unsubstantiierte Behauptung der notorischen Bekanntheit der Nichtrespektierung des Amnestiegesetzes durch die Behörden entgegen. Das von ihm aufgeführte "Beispiel" wird weder belegt noch findet sich ein Hinweis darauf, woher diese "Informationen" stammen. Damit gelingt es dem Beschwerdeführer nicht ansatzweise die von der Vorinstanz aufgeworfenen Zweifel an der Glaubhaftigkeit seiner Vorbringen zu einer erfolgten bzw. befürchteten Verfolgungssituation aus dem Weg zu räumen.</w:t>
      </w:r>
    </w:p>
    <w:p>
      <w:r>
        <w:rPr>
          <w:b/>
        </w:rPr>
        <w:t>E. 5.3</w:t>
      </w:r>
    </w:p>
    <w:p>
      <w:r>
        <w:t>Es gilt vorliegend überdies zu berücksichtigen, dass Mazedonien durch den Bundesrat mit Beschluss vom 25. Juni 2003 als verfolgungssicherer Staat ("Safe Country") gemäss Art. 6a Abs. 2 Bst. a AsylG bezeichnet wurde. Im Rahmen der periodischen Überprüfung (vgl. Art. 6a Abs. 3 AsylG) ist die Schweizer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 Nach einer Gesamtwürdigung der Aktenlage kommt das Bundesverwaltungsgericht zum Schluss, dass auch für den Fall, dass die Angaben des Beschwerdeführers den Anforderungen an das Glaubhaftmachen eines asylrelevanten Sachverhaltes genügen würden, die Asylrelevanz seiner Vorbringen offensichtlich zu verneinen ist. So ist einerseits die geltend gemachte Verfolgung durch Private - Mitglieder der D._______ - erfolgt und es kann deshalb nur von einer Verfolgungssituation ausgegangen werden, wenn der Beschwerdeführer den Staat um entsprechenden adäquaten Schutz angegangen hat, dieser ihm einen solchen aber verwehrt hat (vgl. Entscheidungen und Mitteilungen der Schweizerischen Asylrekurskommission [EMARK] 2006 Nr. 18). Der Beschwerdeführer hat die Nichtanzeige des Vorfalles im Jahr (Zahl) bei der Polizei indes lediglich mit Hinweis auf die Notorietät der Zusammenarbeit der Polizei mit der D._______ begründet, was nicht erklärt, inwiefern der Staat im vorliegenden Fall - trotz gegenteiliger Vermutung - als nicht schutzfähig und -willig zu betrachten sei. Der auf Beschwerdeebene dazu eingebrachte Einwand der mangelnden "absoluten Gültigkeit staatlichen Schutzes" erweist sich zudem im Hinblick auf die Rechtsprechung zur Schutztheorie - wonach nicht eine faktische Garantie für langfristigen individuellen Schutz der von nichtstaatlicher Verfolgung bedrohten Person verlangt werden kann, weil es keinem Staat gelingen kann, die absolute Sicherheit seiner Bürgerinnen und Bürger jederzeit und überall zu garantieren (vgl. EMARK 2006 Nr. 18 E. 10.2 S. 202 f.; EMARK 2006 Nr. 32 E. 6.1 S. 340 f.) - als vollkommen verfehlt. Andererseits sind sowohl die anlässlich des vorinstanzlichen Verfahrens als auch auf Beschwerdeebene geäusserten Bedenken des Beschwerdeführers, er müsse staatliche Verfolgungsgefahr aufgrund seiner vormaligen UÇK-Angehörigkeit befürchten, da die Nichtbeachtung der Amnestiegesetze durch den Staat notorisch bekannt sei, sehr allgemein gehalten bzw. bleiben sie unbelegt, weshalb sie lediglich Vermutungen des Beschwerdeführers darstellen. Mit seinen Vorbringen liefert er somit offensichtlich keine konkreten und substanziierten Hinweise für die Wahrscheinlichkeit einer zukünftigen (staatlichen) asylrelevanten Verfolgung (vgl. auch Ausführungen oben in E. 5.2).</w:t>
      </w:r>
    </w:p>
    <w:p>
      <w:r>
        <w:rPr>
          <w:b/>
        </w:rPr>
        <w:t>E. 5.4</w:t>
      </w:r>
    </w:p>
    <w:p>
      <w:r>
        <w:t>Zusammenfassend ist somit festzuhalten, dass es dem Beschwerdeführer offensichtlich nicht gelingt, die Regelvermutung umzustossen, wonach im als verfolgungssicher geltenden Mazedonien asylrelevante staatliche Verfolgung nicht stattfinde und Schutz vor nichtstaatlicher Verfolgung gewährleistet sei. Demnach sind die Voraussetzungen für die Zuerkennung der Flüchtlingseigenschaft nach Art. 3 und Art. 7 AsylG nicht erfüllt. Der Beschwerdeführer vermag mit seinen Beschwerdevorbringen zu keiner anderen Betrachtungsweise zu führen, weshalb es sich erübrigt, weiter darauf einzugehen. Dies gilt auch für die auf Beschwerdeebene neu geltend gemachte religiöse Verfolgung (vgl. Prozessgeschichte Bst. E oben), zumal dieses Vorbringen unsubstanziiert dargelegt und als nachgeschoben qualifiziert werden muss. Die Vorinstanz hat daher das Asylgesuch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Sein Vorbringen, die Menschenrechte würden in Mazedonien nicht genügend beachtetet und die Lebensumstände seien dort menschenunwürdig (vgl. Beschwerde S. 4), ist unsubstanziiert vorgetragen und entsprechend nicht stichhaltig.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Mazedonien herrschen weder kriegsähnliche Zustände noch besteht eine Situation von allgemeiner Gewalt.</w:t>
      </w:r>
    </w:p>
    <w:p>
      <w:r>
        <w:rPr>
          <w:b/>
        </w:rPr>
        <w:t>E. 7.3.2</w:t>
      </w:r>
    </w:p>
    <w:p>
      <w:r>
        <w:t>Der Aktenlage sind zudem keine Hinweise auf individuelle Gründe, welche gegen die Zumutbarkeit des Wegweisungsvollzugs sprechen würden, zu entnehmen. Der (...)-jährige Beschwerdeführer ist jung, ledig und verfügt in B._______ über ein breit gefächertes Beziehungsnetz (Verwandtschaft), welches ihm wird stützend zur Seite stehen können.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(vgl. BVGE 2009/2 E. 9.3.2 mit Hinweis auf EMARK 2003 Nr. 24 E. 5a und b). Die angeblichen psychischen Probleme des Beschwerdeführers - Angstzustände, Alpträume, Verfolgungszustand, Panikattacken (vgl. Beschwerde S. 4 und 5) - sind unbelegt und können zudem nicht als derartig gravierend bezeichnet werden, als dass vorliegend aufgrund einer medizinischen Notlage auf Unzumutbarkeit des Wegweisungsvollzuges geschlossen werden muss. Nach dem Gesagten erweist sich der Vollzug der Wegweisung auch als zumutbar.</w:t>
      </w:r>
    </w:p>
    <w:p>
      <w:r>
        <w:rPr>
          <w:b/>
        </w:rPr>
        <w:t>E. 7.4</w:t>
      </w:r>
    </w:p>
    <w:p>
      <w:r>
        <w:t>Schliesslich verfügt der Beschwerdeführer über eine Identitätskarte, weshalb der Vollzug der Wegweisung auch als möglich zu bezeichnen ist (Art. 83 Abs. 2 A uG; vgl. BVGE 2008/34 E. 12 ).</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Fr. 600.- (Art. 1 3 des Reglements vom 21. Februar 2008 über die Kosten und Entschädigungen vor dem Bundesverwaltungsgericht [VGKE, SR 173.320.2]) dem Beschwerdeführer aufzuerlegen (Art. 63 Abs. 1 VwVG) und mit dem am 28. April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